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rFonts w:ascii="Arial" w:hAnsi="Arial" w:eastAsia="Arial" w:cs="Arial"/>
          <w:sz w:val="40"/>
          <w:szCs w:val="40"/>
          <w:b w:val="1"/>
          <w:color w:val="000000"/>
        </w:rPr>
        <w:pStyle w:val="Title"/>
      </w:pPr>
      <w:r>
        <w:rPr>
          <w:rFonts w:ascii="Arial" w:hAnsi="Arial" w:eastAsia="Arial" w:cs="Arial"/>
          <w:sz w:val="40"/>
          <w:szCs w:val="40"/>
          <w:b w:val="1"/>
          <w:color w:val="000000"/>
        </w:rPr>
        <w:t>Part Bibliography and Relation Register</w:t>
      </w:r>
    </w:p>
    <w:p>
      <w:pPr>
        <w:rPr>
          <w:rFonts w:ascii="Arial" w:hAnsi="Arial" w:eastAsia="Arial" w:cs="Arial"/>
          <w:sz w:val="22"/>
          <w:szCs w:val="22"/>
        </w:rPr>
      </w:pPr>
      <w:r>
        <w:rPr>
          <w:b/>
          <w:rFonts w:ascii="Arial" w:hAnsi="Arial" w:eastAsia="Arial" w:cs="Arial"/>
          <w:sz w:val="22"/>
          <w:szCs w:val="22"/>
        </w:rPr>
        <w:t>Part 3 (Sections 3a–3c): The Epistemic Method | Bibliographic consolidation and relation-control | Source-locked | Issue 1</w:t>
      </w:r>
    </w:p>
    <w:tbl>
      <w:tblPr>
        <w:tblStyle w:val="TableGrid"/>
        <w:tblW w:type="auto" w:w="0"/>
        <w:jc w:val="center"/>
        <w:tblLayout w:type="fixed"/>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3491"/>
        <w:gridCol w:w="11053"/>
      </w:tblGrid>
      <w:tr>
        <w:trPr>
          <w:tblHeader/>
        </w:trPr>
        <w:tc>
          <w:tcPr>
            <w:tcW w:type="dxa" w:w="3491"/>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Control field</w:t>
            </w:r>
          </w:p>
        </w:tc>
        <w:tc>
          <w:tcPr>
            <w:tcW w:type="dxa" w:w="11053"/>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Value</w:t>
            </w:r>
          </w:p>
        </w:tc>
      </w:tr>
      <w:tr>
        <w:trPr>
          <w:cantSplit/>
        </w:trPr>
        <w:tc>
          <w:tcPr>
            <w:tcW w:type="dxa" w:w="3491"/>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Document ID</w:t>
            </w:r>
          </w:p>
        </w:tc>
        <w:tc>
          <w:tcPr>
            <w:tcW w:type="dxa" w:w="110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TEM-P3-3A3B3C-SD04-BIBLIOGRAPHY</w:t>
            </w:r>
          </w:p>
        </w:tc>
      </w:tr>
      <w:tr>
        <w:trPr>
          <w:cantSplit/>
        </w:trPr>
        <w:tc>
          <w:tcPr>
            <w:tcW w:type="dxa" w:w="3491"/>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Version / issue</w:t>
            </w:r>
          </w:p>
        </w:tc>
        <w:tc>
          <w:tcPr>
            <w:tcW w:type="dxa" w:w="110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Issue 1 - aligned to the Issue 1 paper sequence</w:t>
            </w:r>
          </w:p>
        </w:tc>
      </w:tr>
      <w:tr>
        <w:trPr>
          <w:cantSplit/>
        </w:trPr>
        <w:tc>
          <w:tcPr>
            <w:tcW w:type="dxa" w:w="3491"/>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Date</w:t>
            </w:r>
          </w:p>
        </w:tc>
        <w:tc>
          <w:tcPr>
            <w:tcW w:type="dxa" w:w="110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2026-09-24</w:t>
            </w:r>
          </w:p>
        </w:tc>
      </w:tr>
      <w:tr>
        <w:trPr>
          <w:cantSplit/>
        </w:trPr>
        <w:tc>
          <w:tcPr>
            <w:tcW w:type="dxa" w:w="3491"/>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Status</w:t>
            </w:r>
          </w:p>
        </w:tc>
        <w:tc>
          <w:tcPr>
            <w:tcW w:type="dxa" w:w="110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Controlled Part 3 support document aligned to the eight Issue 1 canonical papers, GOT-V1-3a-1 through GOT-V1-3c-8. Secondary to the canonical papers.</w:t>
            </w:r>
          </w:p>
        </w:tc>
      </w:tr>
      <w:tr>
        <w:trPr>
          <w:cantSplit/>
        </w:trPr>
        <w:tc>
          <w:tcPr>
            <w:tcW w:type="dxa" w:w="3491"/>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Supersedes</w:t>
            </w:r>
          </w:p>
        </w:tc>
        <w:tc>
          <w:tcPr>
            <w:tcW w:type="dxa" w:w="110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Bibliography and Relation Register - Issue 1 - Formatted.docx. This content reconciliation preserves the eight-paper sequence and updates source identities, ownership, locators, and support dependencies. Earlier release history remains recoverable in that source copy.</w:t>
            </w:r>
          </w:p>
        </w:tc>
      </w:tr>
      <w:tr>
        <w:trPr>
          <w:cantSplit/>
        </w:trPr>
        <w:tc>
          <w:tcPr>
            <w:tcW w:type="dxa" w:w="3491"/>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Function</w:t>
            </w:r>
          </w:p>
        </w:tc>
        <w:tc>
          <w:tcPr>
            <w:tcW w:type="dxa" w:w="110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Consolidates the admitted bibliographies of Papers 3a-1–3c-8 into one deduplicated Part bibliography while preserving paper-local relation status, cross-paper differences, hold/exclusion branch-memory, residual, internal 3a/3b/3c boundaries, and Series handoff.</w:t>
            </w:r>
          </w:p>
        </w:tc>
      </w:tr>
      <w:tr>
        <w:trPr>
          <w:cantSplit/>
        </w:trPr>
        <w:tc>
          <w:tcPr>
            <w:tcW w:type="dxa" w:w="3491"/>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Canonical rule</w:t>
            </w:r>
          </w:p>
        </w:tc>
        <w:tc>
          <w:tcPr>
            <w:tcW w:type="dxa" w:w="110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Paper bibliographies and local endnotes remain authoritative for reader-facing scholarly use. This register does not create citation, warrant, adjacency, dependency, or inheritance status by aggregation.</w:t>
            </w:r>
          </w:p>
        </w:tc>
      </w:tr>
      <w:tr>
        <w:trPr>
          <w:cantSplit/>
        </w:trPr>
        <w:tc>
          <w:tcPr>
            <w:tcW w:type="dxa" w:w="3491"/>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Internal split rule</w:t>
            </w:r>
          </w:p>
        </w:tc>
        <w:tc>
          <w:tcPr>
            <w:tcW w:type="dxa" w:w="110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Section 3a, Section 3b, and Section 3c remain distinct canonical regions inside one Part-level support control. Downstream papers may inherit and apply upstream architecture but do not retroactively redefine it.</w:t>
            </w:r>
          </w:p>
        </w:tc>
      </w:tr>
      <w:tr>
        <w:trPr>
          <w:cantSplit/>
        </w:trPr>
        <w:tc>
          <w:tcPr>
            <w:tcW w:type="dxa" w:w="3491"/>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Source-lock rule</w:t>
            </w:r>
          </w:p>
        </w:tc>
        <w:tc>
          <w:tcPr>
            <w:tcW w:type="dxa" w:w="110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Use the eight Issue 1 papers and the current Part 3 SD-01–SD-03 controls. Existing bibliographic classifications are retained from the prior support release; current paper references and endnotes govern their local source relations. The separately listed bibliographic protocol remains historical context.</w:t>
            </w:r>
          </w:p>
        </w:tc>
      </w:tr>
      <w:tr>
        <w:trPr>
          <w:cantSplit/>
        </w:trPr>
        <w:tc>
          <w:tcPr>
            <w:tcW w:type="dxa" w:w="3491"/>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Template rule</w:t>
            </w:r>
          </w:p>
        </w:tc>
        <w:tc>
          <w:tcPr>
            <w:tcW w:type="dxa" w:w="110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Retain the established support-document layout and control schema. Earlier support copies retain historical evidence; the eight Issue 1 papers govern current content. Parts 1 and 2 remain inherited-control references only.</w:t>
            </w:r>
          </w:p>
        </w:tc>
      </w:tr>
    </w:tbl>
    <w:p>
      <w:pPr>
        <w:rPr>
          <w:rFonts w:ascii="Arial" w:hAnsi="Arial" w:eastAsia="Arial" w:cs="Arial"/>
          <w:sz w:val="22"/>
          <w:szCs w:val="22"/>
        </w:rPr>
        <w:pStyle w:val="Normal"/>
        <w:spacing w:before="0" w:after="0" w:line="240" w:lineRule="auto"/>
        <w:keepNext/>
      </w:pPr>
    </w:p>
    <w:p>
      <w:pPr>
        <w:rPr>
          <w:rFonts w:ascii="Arial" w:hAnsi="Arial" w:eastAsia="Arial" w:cs="Arial"/>
          <w:sz w:val="30"/>
          <w:szCs w:val="30"/>
          <w:b w:val="1"/>
          <w:color w:val="1F4E79"/>
        </w:rPr>
        <w:pStyle w:val="Heading1"/>
        <w:keepNext/>
        <w:keepLines/>
      </w:pPr>
      <w:r>
        <w:rPr>
          <w:rFonts w:ascii="Arial" w:hAnsi="Arial" w:eastAsia="Arial" w:cs="Arial"/>
          <w:sz w:val="30"/>
          <w:szCs w:val="30"/>
          <w:b w:val="1"/>
          <w:color w:val="1F4E79"/>
        </w:rPr>
        <w:t>0. Part-level consolidation and source discipline</w:t>
      </w:r>
    </w:p>
    <w:p>
      <w:pPr>
        <w:rPr>
          <w:rFonts w:ascii="Arial" w:hAnsi="Arial" w:eastAsia="Arial" w:cs="Arial"/>
          <w:sz w:val="22"/>
          <w:szCs w:val="22"/>
        </w:rPr>
      </w:pPr>
      <w:r>
        <w:rPr>
          <w:rFonts w:ascii="Arial" w:hAnsi="Arial" w:eastAsia="Arial" w:cs="Arial"/>
          <w:sz w:val="22"/>
          <w:szCs w:val="22"/>
        </w:rPr>
        <w:t>The bibliography is consolidated upward only after paper-level discovery and posture work. Publication identity may be deduplicated; paper-local relation may not. A repeated source may carry different comparator, provenance, dependency, or adjacency relations in different papers, and recurrence does not promote inheritance.</w:t>
      </w:r>
    </w:p>
    <w:p>
      <w:pPr>
        <w:rPr>
          <w:rFonts w:ascii="Arial" w:hAnsi="Arial" w:eastAsia="Arial" w:cs="Arial"/>
          <w:sz w:val="24"/>
          <w:szCs w:val="24"/>
          <w:b w:val="1"/>
          <w:color w:val="1F4E79"/>
        </w:rPr>
        <w:pStyle w:val="Heading2"/>
        <w:keepNext/>
        <w:keepLines/>
      </w:pPr>
      <w:r>
        <w:rPr>
          <w:rFonts w:ascii="Arial" w:hAnsi="Arial" w:eastAsia="Arial" w:cs="Arial"/>
          <w:sz w:val="24"/>
          <w:szCs w:val="24"/>
          <w:b w:val="1"/>
          <w:color w:val="1F4E79"/>
        </w:rPr>
        <w:t>0.1 Canonical source-lock register</w:t>
      </w:r>
    </w:p>
    <w:p>
      <w:pPr>
        <w:spacing w:before="0" w:after="120"/>
        <w:rPr>
          <w:rFonts w:ascii="Arial" w:hAnsi="Arial" w:eastAsia="Arial" w:cs="Arial"/>
          <w:sz w:val="24"/>
          <w:szCs w:val="24"/>
          <w:b w:val="1"/>
          <w:color w:val="1F4E79"/>
        </w:rPr>
        <w:keepNext/>
        <w:keepLines/>
      </w:pPr>
      <w:r>
        <w:rPr>
          <w:rFonts w:ascii="Arial" w:hAnsi="Arial" w:eastAsia="Arial" w:cs="Arial"/>
          <w:color w:val="000000"/>
          <w:sz w:val="22"/>
          <w:szCs w:val="24"/>
          <w:b w:val="0"/>
        </w:rPr>
        <w:t>Paper keys 3a-1 to 3c-8 abbreviate the full GOT-V1 identifiers below. Section locators refer to the numbered headings in the Issue 1 papers; endnote locators use their Arabic note numbers. SHA16 records the first 16 hexadecimal characters of SHA-256.</w:t>
      </w:r>
    </w:p>
    <w:tbl>
      <w:tblPr>
        <w:tblStyle w:val="TableGrid"/>
        <w:tblW w:type="auto" w:w="0"/>
        <w:jc w:val="center"/>
        <w:tblLayout w:type="fixed"/>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2036"/>
        <w:gridCol w:w="4218"/>
        <w:gridCol w:w="2763"/>
        <w:gridCol w:w="5527"/>
      </w:tblGrid>
      <w:tr>
        <w:trPr>
          <w:tblHeader/>
        </w:trPr>
        <w:tc>
          <w:tcPr>
            <w:tcW w:type="dxa" w:w="2036"/>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Seq.</w:t>
            </w:r>
          </w:p>
        </w:tc>
        <w:tc>
          <w:tcPr>
            <w:tcW w:type="dxa" w:w="4218"/>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Current canonical source</w:t>
            </w:r>
          </w:p>
        </w:tc>
        <w:tc>
          <w:tcPr>
            <w:tcW w:type="dxa" w:w="2763"/>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Canonical paper</w:t>
            </w:r>
          </w:p>
        </w:tc>
        <w:tc>
          <w:tcPr>
            <w:tcW w:type="dxa" w:w="5527"/>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Canonical ownership / use</w:t>
            </w:r>
          </w:p>
        </w:tc>
      </w:tr>
      <w:tr>
        <w:trPr>
          <w:cantSplit/>
        </w:trPr>
        <w:tc>
          <w:tcPr>
            <w:tcW w:type="dxa" w:w="203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GOT-V1-3a-1</w:t>
            </w:r>
          </w:p>
        </w:tc>
        <w:tc>
          <w:tcPr>
            <w:tcW w:type="dxa" w:w="421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GOT-V1-3a-1 - The Gödel Horizon - Issue 1.docx | sha16 44a8b20a68541a55</w:t>
            </w:r>
          </w:p>
        </w:tc>
        <w:tc>
          <w:tcPr>
            <w:tcW w:type="dxa" w:w="276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The Gödel Horizon</w:t>
            </w:r>
          </w:p>
        </w:tc>
        <w:tc>
          <w:tcPr>
            <w:tcW w:type="dxa" w:w="5527"/>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Horizon grammar: relational availability; availability/closure boundary conditions; Soft Horizon; Gödel Horizon; Procedural Availability Horizon; coupled loci; abstraction boundaries; comparator and stabilisation discipline.</w:t>
            </w:r>
          </w:p>
        </w:tc>
      </w:tr>
      <w:tr>
        <w:trPr>
          <w:cantSplit/>
        </w:trPr>
        <w:tc>
          <w:tcPr>
            <w:tcW w:type="dxa" w:w="203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GOT-V1-3a-2</w:t>
            </w:r>
          </w:p>
        </w:tc>
        <w:tc>
          <w:tcPr>
            <w:tcW w:type="dxa" w:w="421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GOT-V1-3a-2 - The Discipline of the Unknown - Issue 1.docx | sha16 04d3becc2b5a5029</w:t>
            </w:r>
          </w:p>
        </w:tc>
        <w:tc>
          <w:tcPr>
            <w:tcW w:type="dxa" w:w="276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The Discipline of the Unknown</w:t>
            </w:r>
          </w:p>
        </w:tc>
        <w:tc>
          <w:tcPr>
            <w:tcW w:type="dxa" w:w="5527"/>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Unknown-statuses; residual; positive exclusion; live formulations; Best Available Formulation; Weighted Residual; action threshold, safeguard, monitoring, stop condition, update, and branch-memory.</w:t>
            </w:r>
          </w:p>
        </w:tc>
      </w:tr>
      <w:tr>
        <w:trPr>
          <w:cantSplit/>
        </w:trPr>
        <w:tc>
          <w:tcPr>
            <w:tcW w:type="dxa" w:w="203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GOT-V1-3b-3</w:t>
            </w:r>
          </w:p>
        </w:tc>
        <w:tc>
          <w:tcPr>
            <w:tcW w:type="dxa" w:w="421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GOT-V1-3b-3 - On the Origin of Power - Issue 1.docx | sha16 d6d961fbb277a77c</w:t>
            </w:r>
          </w:p>
        </w:tc>
        <w:tc>
          <w:tcPr>
            <w:tcW w:type="dxa" w:w="276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On the Origin of Power</w:t>
            </w:r>
          </w:p>
        </w:tc>
        <w:tc>
          <w:tcPr>
            <w:tcW w:type="dxa" w:w="5527"/>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Primitive Power as IPL-indexed distinction-conditioned branch potential; Counterfactual Inclusion Field; potential/application/consequence separation; Counterfactual Exclusion; thermodynamic grounding.</w:t>
            </w:r>
          </w:p>
        </w:tc>
      </w:tr>
      <w:tr>
        <w:trPr>
          <w:cantSplit/>
        </w:trPr>
        <w:tc>
          <w:tcPr>
            <w:tcW w:type="dxa" w:w="203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GOT-V1-3b-4</w:t>
            </w:r>
          </w:p>
        </w:tc>
        <w:tc>
          <w:tcPr>
            <w:tcW w:type="dxa" w:w="421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GOT-V1-3b-4 - On the Origin of Responsibility - Issue 1.docx | sha16 ef17be5480bc49e7</w:t>
            </w:r>
          </w:p>
        </w:tc>
        <w:tc>
          <w:tcPr>
            <w:tcW w:type="dxa" w:w="276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On the Origin of Responsibility</w:t>
            </w:r>
          </w:p>
        </w:tc>
        <w:tc>
          <w:tcPr>
            <w:tcW w:type="dxa" w:w="5527"/>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Primitive Responsibility as locus-indexed attribution; Responsibility Provenance; distributed and temporal provenance; Responsibility Gradient; Immediate-Frame Principle; Responsibility Warrant.</w:t>
            </w:r>
          </w:p>
        </w:tc>
      </w:tr>
      <w:tr>
        <w:trPr>
          <w:cantSplit/>
        </w:trPr>
        <w:tc>
          <w:tcPr>
            <w:tcW w:type="dxa" w:w="203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GOT-V1-3b-5</w:t>
            </w:r>
          </w:p>
        </w:tc>
        <w:tc>
          <w:tcPr>
            <w:tcW w:type="dxa" w:w="421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GOT-V1-3b-5 - On the Origin of Trust - Issue 1.docx | sha16 d8a68ac35982e5a0</w:t>
            </w:r>
          </w:p>
        </w:tc>
        <w:tc>
          <w:tcPr>
            <w:tcW w:type="dxa" w:w="276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On the Origin of Trust</w:t>
            </w:r>
          </w:p>
        </w:tc>
        <w:tc>
          <w:tcPr>
            <w:tcW w:type="dxa" w:w="5527"/>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Trust as reliance closure under residual; primitive audit; branch-space economy; trust thresholds; vicarious trust; Epistemic Authority and the minimum Structural Authority distinction (§8); trust carriers; laundering; betrayal, repair, and formalisation handoff.</w:t>
            </w:r>
          </w:p>
        </w:tc>
      </w:tr>
      <w:tr>
        <w:trPr>
          <w:cantSplit/>
        </w:trPr>
        <w:tc>
          <w:tcPr>
            <w:tcW w:type="dxa" w:w="203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GOT-V1-3c-6</w:t>
            </w:r>
          </w:p>
        </w:tc>
        <w:tc>
          <w:tcPr>
            <w:tcW w:type="dxa" w:w="421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GOT-V1-3c-6 - The Case for Formalisation - Issue 1.docx | sha16 b4d11bd226838155</w:t>
            </w:r>
          </w:p>
        </w:tc>
        <w:tc>
          <w:tcPr>
            <w:tcW w:type="dxa" w:w="276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The Case for Formalisation</w:t>
            </w:r>
          </w:p>
        </w:tc>
        <w:tc>
          <w:tcPr>
            <w:tcW w:type="dxa" w:w="5527"/>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Load-bearing language; recoverable authority; distinct epistemic grounding and structural authorisation (§1); epistemic debt; institutions and machines; formalisation as preservation; auditable claim packet; proportional formalisation; retrospective review.</w:t>
            </w:r>
          </w:p>
        </w:tc>
      </w:tr>
      <w:tr>
        <w:trPr>
          <w:cantSplit/>
        </w:trPr>
        <w:tc>
          <w:tcPr>
            <w:tcW w:type="dxa" w:w="203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GOT-V1-3c-7</w:t>
            </w:r>
          </w:p>
        </w:tc>
        <w:tc>
          <w:tcPr>
            <w:tcW w:type="dxa" w:w="421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GOT-V1-3c-7 - The Constitutional Governance of Formalisation - Issue 1.docx | sha16 a3540c539c730360</w:t>
            </w:r>
          </w:p>
        </w:tc>
        <w:tc>
          <w:tcPr>
            <w:tcW w:type="dxa" w:w="276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The Constitutional Governance of Formalisation</w:t>
            </w:r>
          </w:p>
        </w:tc>
        <w:tc>
          <w:tcPr>
            <w:tcW w:type="dxa" w:w="5527"/>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Governance of formalisation; constitutional/technical/application levels; application of Epistemic Authority inherited from 3b-5; custodial and operational applications of Structural Authority (§6); amendment, forks, certification, and capture controls.</w:t>
            </w:r>
          </w:p>
        </w:tc>
      </w:tr>
      <w:tr>
        <w:trPr>
          <w:cantSplit/>
        </w:trPr>
        <w:tc>
          <w:tcPr>
            <w:tcW w:type="dxa" w:w="203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GOT-V1-3c-8</w:t>
            </w:r>
          </w:p>
        </w:tc>
        <w:tc>
          <w:tcPr>
            <w:tcW w:type="dxa" w:w="421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GOT-V1-3c-8 - The Epistemic Method - Issue 1.docx | sha16 dc08048b02787be4</w:t>
            </w:r>
          </w:p>
        </w:tc>
        <w:tc>
          <w:tcPr>
            <w:tcW w:type="dxa" w:w="276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The Epistemic Method</w:t>
            </w:r>
          </w:p>
        </w:tc>
        <w:tc>
          <w:tcPr>
            <w:tcW w:type="dxa" w:w="5527"/>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Integrated relational audit of claim-strength and reliance-strength; indexed relation; claim and reliance paths; comparator, residual, reliance limit; preferential reliance and carrier-path preservation (§6); conditional Power/Responsibility audits; method-compliance is not closure.</w:t>
            </w:r>
          </w:p>
        </w:tc>
      </w:tr>
    </w:tbl>
    <w:p>
      <w:pPr>
        <w:rPr>
          <w:rFonts w:ascii="Arial" w:hAnsi="Arial" w:eastAsia="Arial" w:cs="Arial"/>
          <w:sz w:val="22"/>
          <w:szCs w:val="22"/>
        </w:rPr>
        <w:pStyle w:val="Normal"/>
        <w:spacing w:before="0" w:after="0" w:line="240" w:lineRule="auto"/>
        <w:keepNext/>
      </w:pPr>
    </w:p>
    <w:p>
      <w:pPr>
        <w:rPr>
          <w:rFonts w:ascii="Arial" w:hAnsi="Arial" w:eastAsia="Arial" w:cs="Arial"/>
          <w:sz w:val="24"/>
          <w:szCs w:val="24"/>
          <w:b w:val="1"/>
          <w:color w:val="1F4E79"/>
        </w:rPr>
        <w:pStyle w:val="Heading2"/>
        <w:keepNext/>
        <w:keepLines/>
      </w:pPr>
      <w:r>
        <w:rPr>
          <w:rFonts w:ascii="Arial" w:hAnsi="Arial" w:eastAsia="Arial" w:cs="Arial"/>
          <w:sz w:val="24"/>
          <w:szCs w:val="24"/>
          <w:b w:val="1"/>
          <w:color w:val="1F4E79"/>
        </w:rPr>
        <w:t>0.2 Upstream inherited-control references</w:t>
      </w:r>
    </w:p>
    <w:tbl>
      <w:tblPr>
        <w:tblStyle w:val="TableGrid"/>
        <w:tblW w:type="auto" w:w="0"/>
        <w:jc w:val="center"/>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4848"/>
        <w:gridCol w:w="4848"/>
        <w:gridCol w:w="4848"/>
      </w:tblGrid>
      <w:tr>
        <w:trPr>
          <w:tblHeader/>
        </w:trPr>
        <w:tc>
          <w:tcPr>
            <w:tcW w:type="dxa" w:w="1440"/>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Control ID</w:t>
            </w:r>
          </w:p>
        </w:tc>
        <w:tc>
          <w:tcPr>
            <w:tcW w:type="dxa" w:w="5184"/>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Current source</w:t>
            </w:r>
          </w:p>
        </w:tc>
        <w:tc>
          <w:tcPr>
            <w:tcW w:type="dxa" w:w="6336"/>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Permitted use</w:t>
            </w:r>
          </w:p>
        </w:tc>
      </w:tr>
      <w:tr>
        <w:trPr>
          <w:cantSplit/>
        </w:trPr>
        <w:tc>
          <w:tcPr>
            <w:tcW w:type="dxa" w:w="144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P1-SD01</w:t>
            </w:r>
          </w:p>
        </w:tc>
        <w:tc>
          <w:tcPr>
            <w:tcW w:type="dxa" w:w="51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Part 1 - Concept Compression Map - Issue 1.docx | sha16 a256c5229849f993</w:t>
            </w:r>
          </w:p>
        </w:tc>
        <w:tc>
          <w:tcPr>
            <w:tcW w:type="dxa" w:w="633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Upstream architecture compression for NTC, BD, IPL, DTS, life-threshold and localisation discipline.</w:t>
            </w:r>
          </w:p>
        </w:tc>
      </w:tr>
      <w:tr>
        <w:trPr>
          <w:cantSplit/>
        </w:trPr>
        <w:tc>
          <w:tcPr>
            <w:tcW w:type="dxa" w:w="144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P1-SD02</w:t>
            </w:r>
          </w:p>
        </w:tc>
        <w:tc>
          <w:tcPr>
            <w:tcW w:type="dxa" w:w="51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Part 1 - Glossary - Issue 1.docx | sha16 e97712ced4e2b095</w:t>
            </w:r>
          </w:p>
        </w:tc>
        <w:tc>
          <w:tcPr>
            <w:tcW w:type="dxa" w:w="633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Upstream controlled vocabulary for inherited Part 1 terms.</w:t>
            </w:r>
          </w:p>
        </w:tc>
      </w:tr>
      <w:tr>
        <w:trPr>
          <w:cantSplit/>
        </w:trPr>
        <w:tc>
          <w:tcPr>
            <w:tcW w:type="dxa" w:w="144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P1-SD03</w:t>
            </w:r>
          </w:p>
        </w:tc>
        <w:tc>
          <w:tcPr>
            <w:tcW w:type="dxa" w:w="51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Part 1 - Guardrail and Failure-Mode Register - Issue 1.docx | sha16 794360cc1ff16519</w:t>
            </w:r>
          </w:p>
        </w:tc>
        <w:tc>
          <w:tcPr>
            <w:tcW w:type="dxa" w:w="633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Upstream comparator, localisation, source-lock, and anti-inflation guardrails.</w:t>
            </w:r>
          </w:p>
        </w:tc>
      </w:tr>
      <w:tr>
        <w:trPr>
          <w:cantSplit/>
        </w:trPr>
        <w:tc>
          <w:tcPr>
            <w:tcW w:type="dxa" w:w="144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P1-SD04</w:t>
            </w:r>
          </w:p>
        </w:tc>
        <w:tc>
          <w:tcPr>
            <w:tcW w:type="dxa" w:w="51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Part 1 - Bibliography and Relation Register - Issue 1.docx | sha16 7b0b194c1552979b</w:t>
            </w:r>
          </w:p>
        </w:tc>
        <w:tc>
          <w:tcPr>
            <w:tcW w:type="dxa" w:w="633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Upstream bibliographic relation-control reference only; no citation transfer into Part 3.</w:t>
            </w:r>
          </w:p>
        </w:tc>
      </w:tr>
      <w:tr>
        <w:trPr>
          <w:cantSplit/>
        </w:trPr>
        <w:tc>
          <w:tcPr>
            <w:tcW w:type="dxa" w:w="144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P2-SD01</w:t>
            </w:r>
          </w:p>
        </w:tc>
        <w:tc>
          <w:tcPr>
            <w:tcW w:type="dxa" w:w="51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Part 2 - Concept Compression Map - Issue 1.docx | sha16 eee99287e2cfaa10</w:t>
            </w:r>
          </w:p>
        </w:tc>
        <w:tc>
          <w:tcPr>
            <w:tcW w:type="dxa" w:w="633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Upstream control for RRP, signal, OP/OA/OR/RAS/RSD, knowledge, intelligence, observation, abstraction, scale, and observation-program architecture.</w:t>
            </w:r>
          </w:p>
        </w:tc>
      </w:tr>
      <w:tr>
        <w:trPr>
          <w:cantSplit/>
        </w:trPr>
        <w:tc>
          <w:tcPr>
            <w:tcW w:type="dxa" w:w="144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P2-SD02</w:t>
            </w:r>
          </w:p>
        </w:tc>
        <w:tc>
          <w:tcPr>
            <w:tcW w:type="dxa" w:w="51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Part 2 - Glossary - Issue 1.docx | sha16 b144e7dc2eac7133</w:t>
            </w:r>
          </w:p>
        </w:tc>
        <w:tc>
          <w:tcPr>
            <w:tcW w:type="dxa" w:w="633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Upstream controlled vocabulary for inherited informational and observational terms.</w:t>
            </w:r>
          </w:p>
        </w:tc>
      </w:tr>
      <w:tr>
        <w:trPr>
          <w:cantSplit/>
        </w:trPr>
        <w:tc>
          <w:tcPr>
            <w:tcW w:type="dxa" w:w="144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P2-SD03</w:t>
            </w:r>
          </w:p>
        </w:tc>
        <w:tc>
          <w:tcPr>
            <w:tcW w:type="dxa" w:w="51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Part 2 - Guardrail and Failure-Mode Register - Issue 1.docx | sha16 f955341321f11d30</w:t>
            </w:r>
          </w:p>
        </w:tc>
        <w:tc>
          <w:tcPr>
            <w:tcW w:type="dxa" w:w="633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Upstream failure-control for local locus, information/signal, observation, abstraction, scale, and descriptor discipline.</w:t>
            </w:r>
          </w:p>
        </w:tc>
      </w:tr>
      <w:tr>
        <w:trPr>
          <w:cantSplit/>
        </w:trPr>
        <w:tc>
          <w:tcPr>
            <w:tcW w:type="dxa" w:w="144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P2-SD04</w:t>
            </w:r>
          </w:p>
        </w:tc>
        <w:tc>
          <w:tcPr>
            <w:tcW w:type="dxa" w:w="51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Part 2 - Bibliography and Relation Register - Issue 1.docx | sha16 12dc458d0e940e8c</w:t>
            </w:r>
          </w:p>
        </w:tc>
        <w:tc>
          <w:tcPr>
            <w:tcW w:type="dxa" w:w="633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Upstream bibliographic relation-control reference only; no citation transfer into Part 3.</w:t>
            </w:r>
          </w:p>
        </w:tc>
      </w:tr>
      <w:tr>
        <w:trPr>
          <w:cantSplit/>
        </w:trPr>
        <w:tc>
          <w:tcPr>
            <w:tcW w:type="dxa" w:w="144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Protocol</w:t>
            </w:r>
          </w:p>
        </w:tc>
        <w:tc>
          <w:tcPr>
            <w:tcW w:type="dxa" w:w="51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Historical reference: GOT - Bibliographic Identification Classification and Adjacency Discovery Protocol - Issue 1(1).docx | sha16 03dec29bfa52830c</w:t>
            </w:r>
          </w:p>
        </w:tc>
        <w:tc>
          <w:tcPr>
            <w:tcW w:type="dxa" w:w="633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Retained classification context from the prior support release. This protocol file is not in the current supplied control set; its recorded hash is historical and is not represented as a newly verified source. Existing classifications are retained, with no new promotion of inheritance.</w:t>
            </w:r>
          </w:p>
        </w:tc>
      </w:tr>
    </w:tbl>
    <w:p>
      <w:pPr>
        <w:rPr>
          <w:rFonts w:ascii="Arial" w:hAnsi="Arial" w:eastAsia="Arial" w:cs="Arial"/>
          <w:sz w:val="22"/>
          <w:szCs w:val="22"/>
        </w:rPr>
        <w:pStyle w:val="Normal"/>
        <w:spacing w:before="0" w:after="0" w:line="240" w:lineRule="auto"/>
        <w:keepNext/>
      </w:pPr>
    </w:p>
    <w:p>
      <w:pPr>
        <w:rPr>
          <w:rFonts w:ascii="Arial" w:hAnsi="Arial" w:eastAsia="Arial" w:cs="Arial"/>
          <w:sz w:val="24"/>
          <w:szCs w:val="24"/>
          <w:b w:val="1"/>
          <w:color w:val="1F4E79"/>
        </w:rPr>
        <w:pStyle w:val="Heading2"/>
        <w:keepNext/>
        <w:keepLines/>
      </w:pPr>
      <w:r>
        <w:rPr>
          <w:rFonts w:ascii="Arial" w:hAnsi="Arial" w:eastAsia="Arial" w:cs="Arial"/>
          <w:sz w:val="24"/>
          <w:szCs w:val="24"/>
          <w:b w:val="1"/>
          <w:color w:val="1F4E79"/>
        </w:rPr>
        <w:t>0.3 Part-level support-control chain</w:t>
      </w:r>
    </w:p>
    <w:tbl>
      <w:tblPr>
        <w:tblStyle w:val="TableGrid"/>
        <w:tblW w:type="auto" w:w="0"/>
        <w:jc w:val="center"/>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4848"/>
        <w:gridCol w:w="4848"/>
        <w:gridCol w:w="4848"/>
      </w:tblGrid>
      <w:tr>
        <w:trPr>
          <w:tblHeader/>
        </w:trPr>
        <w:tc>
          <w:tcPr>
            <w:tcW w:type="dxa" w:w="1440"/>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Control ID</w:t>
            </w:r>
          </w:p>
        </w:tc>
        <w:tc>
          <w:tcPr>
            <w:tcW w:type="dxa" w:w="6048"/>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Current control file</w:t>
            </w:r>
          </w:p>
        </w:tc>
        <w:tc>
          <w:tcPr>
            <w:tcW w:type="dxa" w:w="5760"/>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Permitted use</w:t>
            </w:r>
          </w:p>
        </w:tc>
      </w:tr>
      <w:tr>
        <w:trPr>
          <w:cantSplit/>
        </w:trPr>
        <w:tc>
          <w:tcPr>
            <w:tcW w:type="dxa" w:w="144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P3-SD01</w:t>
            </w:r>
          </w:p>
        </w:tc>
        <w:tc>
          <w:tcPr>
            <w:tcW w:type="dxa" w:w="604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Concept Compression Map - Issue 1.docx | sha16 874e44c76caf3061</w:t>
            </w:r>
          </w:p>
        </w:tc>
        <w:tc>
          <w:tcPr>
            <w:tcW w:type="dxa" w:w="576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Architecture compression and source-discipline control.</w:t>
            </w:r>
          </w:p>
        </w:tc>
      </w:tr>
      <w:tr>
        <w:trPr>
          <w:cantSplit/>
        </w:trPr>
        <w:tc>
          <w:tcPr>
            <w:tcW w:type="dxa" w:w="144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P3-SD02</w:t>
            </w:r>
          </w:p>
        </w:tc>
        <w:tc>
          <w:tcPr>
            <w:tcW w:type="dxa" w:w="604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Glossary - Issue 1.docx | sha16 8e0c4e96367405e7</w:t>
            </w:r>
          </w:p>
        </w:tc>
        <w:tc>
          <w:tcPr>
            <w:tcW w:type="dxa" w:w="576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Controlled vocabulary and canonical-home control.</w:t>
            </w:r>
          </w:p>
        </w:tc>
      </w:tr>
      <w:tr>
        <w:trPr>
          <w:cantSplit/>
        </w:trPr>
        <w:tc>
          <w:tcPr>
            <w:tcW w:type="dxa" w:w="144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P3-SD03</w:t>
            </w:r>
          </w:p>
        </w:tc>
        <w:tc>
          <w:tcPr>
            <w:tcW w:type="dxa" w:w="604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Guardrail and Failure-Mode Register - Issue 1.docx | sha16 eb6b6a5a864111dc</w:t>
            </w:r>
          </w:p>
        </w:tc>
        <w:tc>
          <w:tcPr>
            <w:tcW w:type="dxa" w:w="576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Failure-control and release-discipline reference.</w:t>
            </w:r>
          </w:p>
        </w:tc>
      </w:tr>
    </w:tbl>
    <w:p>
      <w:pPr>
        <w:rPr>
          <w:rFonts w:ascii="Arial" w:hAnsi="Arial" w:eastAsia="Arial" w:cs="Arial"/>
          <w:sz w:val="22"/>
          <w:szCs w:val="22"/>
        </w:rPr>
        <w:pStyle w:val="Normal"/>
        <w:spacing w:before="0" w:after="0" w:line="240" w:lineRule="auto"/>
        <w:keepNext/>
      </w:pPr>
    </w:p>
    <w:p>
      <w:pPr>
        <w:rPr>
          <w:rFonts w:ascii="Arial" w:hAnsi="Arial" w:eastAsia="Arial" w:cs="Arial"/>
          <w:sz w:val="22"/>
          <w:szCs w:val="22"/>
        </w:rPr>
      </w:pPr>
      <w:r>
        <w:rPr>
          <w:rFonts w:ascii="Arial" w:hAnsi="Arial" w:eastAsia="Arial" w:cs="Arial"/>
          <w:sz w:val="22"/>
          <w:szCs w:val="22"/>
        </w:rPr>
        <w:t>Excluded source class: superseded Part 3 paper revisions as current identities; contextual essay-series material; downstream extension proposals; prior generated answers; unverified or unadmitted external material; and any later Part 3 concept not present in the current eight-paper canonical sequence. Bibliographic recurrence does not create technical inheritance.</w:t>
      </w:r>
    </w:p>
    <w:p>
      <w:pPr>
        <w:rPr>
          <w:rFonts w:ascii="Arial" w:hAnsi="Arial" w:eastAsia="Arial" w:cs="Arial"/>
          <w:sz w:val="22"/>
          <w:szCs w:val="22"/>
        </w:rPr>
      </w:pPr>
      <w:r>
        <w:rPr>
          <w:rFonts w:ascii="Arial" w:hAnsi="Arial" w:eastAsia="Arial" w:cs="Arial"/>
          <w:sz w:val="22"/>
          <w:szCs w:val="22"/>
        </w:rPr>
        <w:t>SD-01, sections 9–10, preserves the identity migration and the deferred Toolkit update control. The eight-paper lock remains active; the future Toolkit does not yet supply a Part 3 definition, guardrail, or bibliography entry.</w:t>
      </w:r>
    </w:p>
    <w:p>
      <w:pPr>
        <w:rPr>
          <w:rFonts w:ascii="Arial" w:hAnsi="Arial" w:eastAsia="Arial" w:cs="Arial"/>
          <w:sz w:val="24"/>
          <w:szCs w:val="24"/>
          <w:b w:val="1"/>
          <w:color w:val="1F4E79"/>
        </w:rPr>
        <w:pStyle w:val="Heading2"/>
        <w:keepNext/>
        <w:keepLines/>
      </w:pPr>
      <w:r>
        <w:rPr>
          <w:rFonts w:ascii="Arial" w:hAnsi="Arial" w:eastAsia="Arial" w:cs="Arial"/>
          <w:sz w:val="24"/>
          <w:szCs w:val="24"/>
          <w:b w:val="1"/>
          <w:color w:val="1F4E79"/>
        </w:rPr>
        <w:t>0.4 Internal section bibliography accounting</w:t>
      </w:r>
    </w:p>
    <w:tbl>
      <w:tblPr>
        <w:tblStyle w:val="TableGrid"/>
        <w:tblW w:type="auto" w:w="0"/>
        <w:jc w:val="center"/>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3636"/>
        <w:gridCol w:w="3636"/>
        <w:gridCol w:w="3636"/>
        <w:gridCol w:w="3636"/>
      </w:tblGrid>
      <w:tr>
        <w:trPr>
          <w:tblHeader/>
        </w:trPr>
        <w:tc>
          <w:tcPr>
            <w:tcW w:type="dxa" w:w="1872"/>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Region</w:t>
            </w:r>
          </w:p>
        </w:tc>
        <w:tc>
          <w:tcPr>
            <w:tcW w:type="dxa" w:w="2016"/>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Paper-local occurrences</w:t>
            </w:r>
          </w:p>
        </w:tc>
        <w:tc>
          <w:tcPr>
            <w:tcW w:type="dxa" w:w="2592"/>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Unique publication identities inside region</w:t>
            </w:r>
          </w:p>
        </w:tc>
        <w:tc>
          <w:tcPr>
            <w:tcW w:type="dxa" w:w="7200"/>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Control</w:t>
            </w:r>
          </w:p>
        </w:tc>
      </w:tr>
      <w:tr>
        <w:trPr>
          <w:cantSplit/>
        </w:trPr>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Section 3a</w:t>
            </w:r>
          </w:p>
        </w:tc>
        <w:tc>
          <w:tcPr>
            <w:tcW w:type="dxa" w:w="201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21</w:t>
            </w:r>
          </w:p>
        </w:tc>
        <w:tc>
          <w:tcPr>
            <w:tcW w:type="dxa" w:w="25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20</w:t>
            </w:r>
          </w:p>
        </w:tc>
        <w:tc>
          <w:tcPr>
            <w:tcW w:type="dxa" w:w="720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Papers 3a-1–3a-2; horizon/unknown relations remain local.</w:t>
            </w:r>
          </w:p>
        </w:tc>
      </w:tr>
      <w:tr>
        <w:trPr>
          <w:cantSplit/>
        </w:trPr>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Section 3b</w:t>
            </w:r>
          </w:p>
        </w:tc>
        <w:tc>
          <w:tcPr>
            <w:tcW w:type="dxa" w:w="201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29</w:t>
            </w:r>
          </w:p>
        </w:tc>
        <w:tc>
          <w:tcPr>
            <w:tcW w:type="dxa" w:w="25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29</w:t>
            </w:r>
          </w:p>
        </w:tc>
        <w:tc>
          <w:tcPr>
            <w:tcW w:type="dxa" w:w="720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Papers 3b-3–3b-5; Power/Responsibility/Trust relations remain distinct.</w:t>
            </w:r>
          </w:p>
        </w:tc>
      </w:tr>
      <w:tr>
        <w:trPr>
          <w:cantSplit/>
        </w:trPr>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Section 3c</w:t>
            </w:r>
          </w:p>
        </w:tc>
        <w:tc>
          <w:tcPr>
            <w:tcW w:type="dxa" w:w="201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34</w:t>
            </w:r>
          </w:p>
        </w:tc>
        <w:tc>
          <w:tcPr>
            <w:tcW w:type="dxa" w:w="25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31</w:t>
            </w:r>
          </w:p>
        </w:tc>
        <w:tc>
          <w:tcPr>
            <w:tcW w:type="dxa" w:w="720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Papers 3c-6–3c-8; Formalisation/Governance/Method relations remain distinct.</w:t>
            </w:r>
          </w:p>
        </w:tc>
      </w:tr>
      <w:tr>
        <w:trPr>
          <w:cantSplit/>
        </w:trPr>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Whole Part</w:t>
            </w:r>
          </w:p>
        </w:tc>
        <w:tc>
          <w:tcPr>
            <w:tcW w:type="dxa" w:w="201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84</w:t>
            </w:r>
          </w:p>
        </w:tc>
        <w:tc>
          <w:tcPr>
            <w:tcW w:type="dxa" w:w="25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77</w:t>
            </w:r>
          </w:p>
        </w:tc>
        <w:tc>
          <w:tcPr>
            <w:tcW w:type="dxa" w:w="720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Deduplicate identity only; preserve all 84 paper-local relation records.</w:t>
            </w:r>
          </w:p>
        </w:tc>
      </w:tr>
    </w:tbl>
    <w:p>
      <w:pPr>
        <w:rPr>
          <w:rFonts w:ascii="Arial" w:hAnsi="Arial" w:eastAsia="Arial" w:cs="Arial"/>
          <w:sz w:val="22"/>
          <w:szCs w:val="22"/>
        </w:rPr>
        <w:pStyle w:val="Normal"/>
        <w:spacing w:before="0" w:after="0" w:line="240" w:lineRule="auto"/>
        <w:keepNext/>
      </w:pPr>
    </w:p>
    <w:p>
      <w:pPr>
        <w:rPr>
          <w:rFonts w:ascii="Arial" w:hAnsi="Arial" w:eastAsia="Arial" w:cs="Arial"/>
          <w:sz w:val="30"/>
          <w:szCs w:val="30"/>
          <w:b w:val="1"/>
          <w:color w:val="1F4E79"/>
        </w:rPr>
        <w:pStyle w:val="Heading1"/>
        <w:keepNext/>
        <w:keepLines/>
      </w:pPr>
      <w:r>
        <w:rPr>
          <w:rFonts w:ascii="Arial" w:hAnsi="Arial" w:eastAsia="Arial" w:cs="Arial"/>
          <w:sz w:val="30"/>
          <w:szCs w:val="30"/>
          <w:b w:val="1"/>
          <w:color w:val="1F4E79"/>
        </w:rPr>
        <w:t>1. Consolidation architecture</w:t>
      </w:r>
    </w:p>
    <w:tbl>
      <w:tblPr>
        <w:tblStyle w:val="TableGrid"/>
        <w:tblW w:type="auto" w:w="0"/>
        <w:jc w:val="center"/>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4848"/>
        <w:gridCol w:w="4848"/>
        <w:gridCol w:w="4848"/>
      </w:tblGrid>
      <w:tr>
        <w:trPr>
          <w:tblHeader/>
        </w:trPr>
        <w:tc>
          <w:tcPr>
            <w:tcW w:type="dxa" w:w="2160"/>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Layer</w:t>
            </w:r>
          </w:p>
        </w:tc>
        <w:tc>
          <w:tcPr>
            <w:tcW w:type="dxa" w:w="4464"/>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Function</w:t>
            </w:r>
          </w:p>
        </w:tc>
        <w:tc>
          <w:tcPr>
            <w:tcW w:type="dxa" w:w="7344"/>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Control rule</w:t>
            </w:r>
          </w:p>
        </w:tc>
      </w:tr>
      <w:tr>
        <w:trPr>
          <w:cantSplit/>
        </w:trPr>
        <w:tc>
          <w:tcPr>
            <w:tcW w:type="dxa" w:w="216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Paper bibliography</w:t>
            </w:r>
          </w:p>
        </w:tc>
        <w:tc>
          <w:tcPr>
            <w:tcW w:type="dxa" w:w="44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Reader-facing scholarly apparatus.</w:t>
            </w:r>
          </w:p>
        </w:tc>
        <w:tc>
          <w:tcPr>
            <w:tcW w:type="dxa" w:w="734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The paper decides why a source is present; local endnotes state the relation.</w:t>
            </w:r>
          </w:p>
        </w:tc>
      </w:tr>
      <w:tr>
        <w:trPr>
          <w:cantSplit/>
        </w:trPr>
        <w:tc>
          <w:tcPr>
            <w:tcW w:type="dxa" w:w="216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Part bibliography</w:t>
            </w:r>
          </w:p>
        </w:tc>
        <w:tc>
          <w:tcPr>
            <w:tcW w:type="dxa" w:w="44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Deduplicated publication identity across eight papers.</w:t>
            </w:r>
          </w:p>
        </w:tc>
        <w:tc>
          <w:tcPr>
            <w:tcW w:type="dxa" w:w="734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One record per publication with occurrence markers; no flattening of local relations.</w:t>
            </w:r>
          </w:p>
        </w:tc>
      </w:tr>
      <w:tr>
        <w:trPr>
          <w:cantSplit/>
        </w:trPr>
        <w:tc>
          <w:tcPr>
            <w:tcW w:type="dxa" w:w="216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Relation register</w:t>
            </w:r>
          </w:p>
        </w:tc>
        <w:tc>
          <w:tcPr>
            <w:tcW w:type="dxa" w:w="44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Preserves source-to-paper relation actually earned.</w:t>
            </w:r>
          </w:p>
        </w:tc>
        <w:tc>
          <w:tcPr>
            <w:tcW w:type="dxa" w:w="734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Use local endnote/audit relation; no Part-level promotion by repetition.</w:t>
            </w:r>
          </w:p>
        </w:tc>
      </w:tr>
      <w:tr>
        <w:trPr>
          <w:cantSplit/>
        </w:trPr>
        <w:tc>
          <w:tcPr>
            <w:tcW w:type="dxa" w:w="216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Cross-paper controls</w:t>
            </w:r>
          </w:p>
        </w:tc>
        <w:tc>
          <w:tcPr>
            <w:tcW w:type="dxa" w:w="44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Expose exact duplicates and materially different uses.</w:t>
            </w:r>
          </w:p>
        </w:tc>
        <w:tc>
          <w:tcPr>
            <w:tcW w:type="dxa" w:w="734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Prevents authority transfer or silent inheritance.</w:t>
            </w:r>
          </w:p>
        </w:tc>
      </w:tr>
      <w:tr>
        <w:trPr>
          <w:cantSplit/>
        </w:trPr>
        <w:tc>
          <w:tcPr>
            <w:tcW w:type="dxa" w:w="216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Hold/exclusion branch-memory</w:t>
            </w:r>
          </w:p>
        </w:tc>
        <w:tc>
          <w:tcPr>
            <w:tcW w:type="dxa" w:w="44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Carries material candidates not admitted locally.</w:t>
            </w:r>
          </w:p>
        </w:tc>
        <w:tc>
          <w:tcPr>
            <w:tcW w:type="dxa" w:w="734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Preserves reasons/update conditions without publishing held sources.</w:t>
            </w:r>
          </w:p>
        </w:tc>
      </w:tr>
      <w:tr>
        <w:trPr>
          <w:cantSplit/>
        </w:trPr>
        <w:tc>
          <w:tcPr>
            <w:tcW w:type="dxa" w:w="216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Part residual</w:t>
            </w:r>
          </w:p>
        </w:tc>
        <w:tc>
          <w:tcPr>
            <w:tcW w:type="dxa" w:w="44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Carries search limits upward.</w:t>
            </w:r>
          </w:p>
        </w:tc>
        <w:tc>
          <w:tcPr>
            <w:tcW w:type="dxa" w:w="734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No exhaustive prior-art claim.</w:t>
            </w:r>
          </w:p>
        </w:tc>
      </w:tr>
      <w:tr>
        <w:trPr>
          <w:cantSplit/>
        </w:trPr>
        <w:tc>
          <w:tcPr>
            <w:tcW w:type="dxa" w:w="216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Series handoff</w:t>
            </w:r>
          </w:p>
        </w:tc>
        <w:tc>
          <w:tcPr>
            <w:tcW w:type="dxa" w:w="44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Feeds Series Master Bibliography and dependency/provenance controls.</w:t>
            </w:r>
          </w:p>
        </w:tc>
        <w:tc>
          <w:tcPr>
            <w:tcW w:type="dxa" w:w="734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Deduplicate identity again at Series level while retaining every Part/paper-local relation.</w:t>
            </w:r>
          </w:p>
        </w:tc>
      </w:tr>
    </w:tbl>
    <w:p>
      <w:pPr>
        <w:rPr>
          <w:rFonts w:ascii="Arial" w:hAnsi="Arial" w:eastAsia="Arial" w:cs="Arial"/>
          <w:sz w:val="22"/>
          <w:szCs w:val="22"/>
        </w:rPr>
        <w:pStyle w:val="Normal"/>
        <w:spacing w:before="0" w:after="0" w:line="240" w:lineRule="auto"/>
        <w:keepNext/>
      </w:pPr>
    </w:p>
    <w:p>
      <w:pPr>
        <w:rPr>
          <w:rFonts w:ascii="Arial" w:hAnsi="Arial" w:eastAsia="Arial" w:cs="Arial"/>
          <w:sz w:val="30"/>
          <w:szCs w:val="30"/>
          <w:b w:val="1"/>
          <w:color w:val="1F4E79"/>
        </w:rPr>
        <w:pStyle w:val="Heading1"/>
        <w:keepNext/>
        <w:keepLines/>
      </w:pPr>
      <w:r>
        <w:rPr>
          <w:rFonts w:ascii="Arial" w:hAnsi="Arial" w:eastAsia="Arial" w:cs="Arial"/>
          <w:sz w:val="30"/>
          <w:szCs w:val="30"/>
          <w:b w:val="1"/>
          <w:color w:val="1F4E79"/>
        </w:rPr>
        <w:t>2. Part 3 deduplicated publication bibliography</w:t>
      </w:r>
    </w:p>
    <w:p>
      <w:pPr>
        <w:rPr>
          <w:rFonts w:ascii="Arial" w:hAnsi="Arial" w:eastAsia="Arial" w:cs="Arial"/>
          <w:sz w:val="22"/>
          <w:szCs w:val="22"/>
        </w:rPr>
      </w:pPr>
      <w:r>
        <w:rPr>
          <w:rFonts w:ascii="Arial" w:hAnsi="Arial" w:eastAsia="Arial" w:cs="Arial"/>
          <w:sz w:val="22"/>
          <w:szCs w:val="22"/>
        </w:rPr>
        <w:t>The eight current papers contain 84 paper-local bibliographic occurrences. After exact publication-identity deduplication, the Part contains 77 unique publications. The occurrence field is descriptive only and does not assign one Part-wide scholarly meaning to a source.</w:t>
      </w:r>
    </w:p>
    <w:tbl>
      <w:tblPr>
        <w:tblStyle w:val="TableGrid"/>
        <w:tblW w:type="auto" w:w="0"/>
        <w:jc w:val="center"/>
        <w:tblLayout w:type="fixed"/>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864"/>
        <w:gridCol w:w="11808"/>
        <w:gridCol w:w="1872"/>
      </w:tblGrid>
      <w:tr>
        <w:trPr>
          <w:tblHeader/>
        </w:trPr>
        <w:tc>
          <w:tcPr>
            <w:tcW w:type="dxa" w:w="864"/>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Part ID</w:t>
            </w:r>
          </w:p>
        </w:tc>
        <w:tc>
          <w:tcPr>
            <w:tcW w:type="dxa" w:w="11808"/>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Deduplicated bibliographic record</w:t>
            </w:r>
          </w:p>
        </w:tc>
        <w:tc>
          <w:tcPr>
            <w:tcW w:type="dxa" w:w="1872"/>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Paper(s)</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PB01</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Albantakis, L., Marshall, W., Hoel, E., &amp; Tononi, G. (2019). What caused what? A quantitative account of actual causation using dynamical causal networks. Entropy, 21(5), 459. https://doi.org/10.3390/e21050459</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3b-3</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PB02</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Albantakis, L., &amp; Tononi, G. (2015). The intrinsic cause-effect power of discrete dynamical systems—From elementary cellular automata to adapting animats. Entropy, 17(8), 5472-5502. https://doi.org/10.3390/e17085472</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3b-3, 3c-8</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PB03</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Alfano, M. (2016). The topology of communities of trust. Sotsiologicheskoe Obozrenie, 15(4), 30-56. https://doi.org/10.17323/1728-192X-2016-4-30-56</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3b-5</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PB04</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Baier, A. (1986). Trust and antitrust. Ethics, 96(2), 231-260. https://doi.org/10.1086/292745</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3b-5</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PB05</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Baron, J., &amp; Hershey, J. C. (1988). Outcome bias in decision evaluation. Journal of Personality and Social Psychology, 54(4), 569–579. https://doi.org/10.1037/0022-3514.54.4.569</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3c-6</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PB06</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Bartlett, S. J. (2024). Causal leverage density: A general approach to semantic information. arXiv:2407.07335. https://doi.org/10.48550/arXiv.2407.07335</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3b-3</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PB07</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Bloomfield, R., &amp; Rushby, J. (2022). Assessing Confidence with Assurance 2.0 (CSL Technical Report SRI-CSL-2022-02). SRI International.</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3c-6</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PB08</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Bowker, G. C., &amp; Star, S. L. (1999). Sorting Things Out: Classification and Its Consequences. MIT Press.</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3c-6</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PB09</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Cartwright, N. (1989). Nature’s capacities and their measurement. Clarendon Press.</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3b-3</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PB10</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Cartwright, N., Hardie, J., Montuschi, E., Soleiman, M., &amp; Thresher, A. C. (2022). The tangle of science: Reliability beyond method, rigour, and objectivity. Oxford University Press. https://doi.org/10.1093/oso/9780198866343.001.0001</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3c-8</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PB11</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Chamberlin, T. C. (1890). The method of multiple working hypotheses. Science, 15(366), 92-96. https://doi.org/10.1126/science.ns-15.366.92</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3a-2</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PB12</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Chockler, H., &amp; Halpern, J. Y. (2004). Responsibility and blame: A structural-model approach. Journal of Artificial Intelligence Research, 22, 93-115. https://doi.org/10.1613/jair.1391</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3b-4, 3c-8</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PB13</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Cihon, P., Kleinaltenkamp, M. J., Schuett, J., &amp; Baum, S. D. (2021). AI certification: Advancing ethical practice by reducing information asymmetries. IEEE Transactions on Technology and Society, 2(4), 200-209.</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3c-7</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PB14</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Dahl, R. A. (1957). The concept of power. Behavioral Science, 2(3), 201-215. https://doi.org/10.1002/bs.3830020303</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3b-3</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PB15</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Douglas, H. E. (2000). Inductive risk and values in science. Philosophy of Science, 67(4), 559-579. https://doi.org/10.1086/392855</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3a-2</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PB16</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Elish, M. C. (2019). Moral crumple zones: Cautionary tales in human-robot interaction. Engaging Science, Technology, and Society, 5, 40-60. https://doi.org/10.17351/ests2019.260</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3b-4</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PB17</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Fearnley, L. C. A. (2026). Causal responsibility through omission. American Philosophical Quarterly, 63(3), 281-294. https://doi.org/10.5406/21521123.63.3.06</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3b-4</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PB18</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Fischhoff, B. (1975). Hindsight ≠ foresight: The effect of outcome knowledge on judgment under uncertainty. Journal of Experimental Psychology: Human Perception and Performance, 1(3), 288-299. https://doi.org/10.1037/0096-1523.1.3.288</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3a-2</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PB19</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Gambetta, D. (1988). Can we trust trust? In D. Gambetta (Ed.), Trust: Making and breaking cooperative relations (pp. 213-237). Basil Blackwell.</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3b-5</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PB20</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Gebru, T., Morgenstern, J., Vecchione, B., Vaughan, J. W., Wallach, H., Daumé III, H., &amp; Crawford, K. (2021). Datasheets for datasets. Communications of the ACM, 64(12), 86–92. https://doi.org/10.1145/3458723</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3c-6</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PB21</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Gillespie, N., &amp; Dietz, G. (2009). Trust repair after an organization-level failure. Academy of Management Review, 34(1), 127-145. https://doi.org/10.5465/amr.2009.35713319</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3b-5</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PB22</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Gilly, T. (2026). Reviewed for quality and security: Advertising injection through a verified connector, trust laundering, and the limits of directory verification. SSRN. https://doi.org/10.2139/ssrn.7130058</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3b-5</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PB23</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Gödel, K. (1931). Über formal unentscheidbare Sätze der Principia Mathematica und verwandter Systeme I. Monatshefte für Mathematik und Physik, 38, 173-198. https://doi.org/10.1007/BF01700692</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3a-1</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PB24</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Gross, M. (2007). The unknown in process: Dynamic connections of ignorance, non-knowledge and related concepts. Current Sociology, 55(5), 742-759. https://doi.org/10.1177/0011392107079928</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3a-2</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PB25</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Habets, D., Rietveld, E., Kiverstein, J., &amp; Denys, D. (2024). Trusted urban places. Adaptive Behavior, 32(5), 421-438. https://doi.org/10.1177/10597123241229735</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3b-5</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PB26</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Hardwig, J. (1991). The role of trust in knowledge. The Journal of Philosophy, 88(12), 693-708. https://doi.org/10.2307/2027007</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3b-5</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PB27</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Hart, H. L. A. (1961). The Concept of Law. Clarendon Press.</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3c-7</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PB28</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Hart, H. L. A. (1968). Punishment and responsibility: Essays in the philosophy of law. Clarendon Press.</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3b-4</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PB29</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Hawley, K. (2014). Trust, distrust and commitment. Noûs, 48(1), 1-20. https://doi.org/10.1111/nous.12000</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3b-5</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PB30</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Hirschman, A. O. (1970). Exit, voice, and loyalty: Responses to decline in firms, organizations, and states. Harvard University Press.</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3c-7</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PB31</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Hu, J., Huang, X., He, Q., Sun, Y., Dong, Y., &amp; Huang, X. (2026). Responsible agentic AI requires explicit provenance. arXiv:2605.17169. https://doi.org/10.48550/arXiv.2605.17169</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3b-4</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PB32</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Humphreys, P. (2009). The philosophical novelty of computer simulation methods. Synthese, 169(3), 615-626. https://doi.org/10.1007/s11229-008-9435-2</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3a-1</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PB33</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Husserl, E. (1982). Ideas pertaining to a pure phenomenology and to a phenomenological philosophy, first book: General introduction to a pure phenomenology (F. Kersten, Trans.). Martinus Nijhoff. https://doi.org/10.1007/978-94-009-7445-6</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3a-1</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PB34</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Hutchins, E. (1995). Cognition in the wild. MIT Press.</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3a-1</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PB35</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Ionescu, T. B., Schlund, S., &amp; Schmidbauer, C. (2019). Epistemic debt: A concept and measure of technical ignorance in smart manufacturing. In I. L. Nunes (Ed.), Advances in Human Factors and Systems Interaction (pp. 81–93). Springer. https://doi.org/10.1007/978-3-030-20040-4_8</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3c-6</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PB36</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Johansson, I.-L., &amp; Baldvinsdottir, G. (2003). Accounting for trust: Some empirical evidence. Management Accounting Research, 14(3), 219-234. https://doi.org/10.1016/S1044-5005(03)00045-3</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3b-5</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PB37</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Klyubin, A. S., Polani, D., &amp; Nehaniv, C. L. (2005). Empowerment: A universal agent-centric measure of control. 2005 IEEE Congress on Evolutionary Computation, 1, 128-135. https://doi.org/10.1109/CEC.2005.1554676</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3b-3</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PB38</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Knobloch, L. K., &amp; Solomon, D. H. (1999). Measuring the sources and content of relational uncertainty. Communication Studies, 50(4), 261-278. https://doi.org/10.1080/10510979909388499</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3c-8</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PB39</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Kuhn, T. S. (1970). The structure of scientific revolutions (2nd ed., enlarged). University of Chicago Press.</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3a-1, 3a-2</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PB40</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Lee, J. D., &amp; See, K. A. (2004). Trust in automation: Designing for appropriate reliance. Human Factors, 46(1), 50-80. https://doi.org/10.1518/hfes.46.1.50_30392</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3b-5</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PB41</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Lempert, R. J., Popper, S. W., &amp; Bankes, S. C. (2003). Shaping the next one hundred years: New methods for quantitative, long-term policy analysis. RAND Corporation. https://doi.org/10.7249/MR1626</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3a-2</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PB42</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Li, H. (2026). The calibration turn in AI-assisted research: A conceptual and methodological framework for evidence-licensed claims. arXiv:2606.31273.</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3c-6</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PB43</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Lipsky, M. (1980). Street-Level Bureaucracy: Dilemmas of the Individual in Public Services. Russell Sage Foundation.</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3c-6</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PB44</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Lipton, P. (2004). Inference to the best explanation (2nd ed.). Routledge.</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3a-2</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PB45</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Longino, H. E. (1990). Science as social knowledge: Values and objectivity in scientific inquiry. Princeton University Press.</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3c-7</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PB46</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Luhmann, N. (1979). Trust and power: Two works (H. Davis, J. Raffan, &amp; K. Rooney, Trans.). John Wiley &amp; Sons.</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3b-5</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PB47</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Mayo, D. G. (2018). Statistical inference as severe testing: How to get beyond the statistics wars. Cambridge University Press. https://doi.org/10.1017/9781107286184</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3c-8</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PB48</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Merton, R. K. (1987). Three fragments from a sociologist's notebooks: Establishing the phenomenon, specified ignorance, and strategic research materials. Annual Review of Sociology, 13, 1-29. https://doi.org/10.1146/annurev.so.13.080187.000245</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3a-2</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PB49</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Meyer, J. W., &amp; Rowan, B. (1977). Institutionalized organizations: Formal structure as myth and ceremony. American Journal of Sociology, 83(2), 340-363. https://doi.org/10.1086/226550</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3c-7</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PB50</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Mitchell, M., Wu, S., Zaldivar, A., Barnes, P., Vasserman, L., Hutchinson, B., Spitzer, E., Raji, I. D., &amp; Gebru, T. (2019). Model cards for model reporting. Proceedings of the Conference on Fairness, Accountability, and Transparency, 220–229. https://doi.org/10.1145/3287560.3287596</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3c-6</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PB51</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Moreau, L., Groth, P., Cheney, J., Lebo, T., &amp; Miles, S. (2015). The rationale of PROV. Web Semantics, 35, 235-257. https://doi.org/10.1016/j.websem.2015.04.001</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3c-8</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PB52</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Nissenbaum, H. (1996). Accountability in a computerized society. Science and Engineering Ethics, 2, 25–42. https://doi.org/10.1007/BF02639315</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3c-6</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PB53</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Nyman, L. (2015). Understanding Code Forking in Open Source Software: An Examination of Code Forking, Its Effect on Open Source Software, and How It Is Viewed and Practiced by Developers. Hanken School of Economics.</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3c-7</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PB54</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O'Mahony, S., &amp; Ferraro, F. (2007). The emergence of governance in an open source community. Academy of Management Journal, 50(5), 1079-1106. https://doi.org/10.5465/amj.2007.27169153</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3c-7</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PB55</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Ostrom, E. (2005). Understanding Institutional Diversity. Princeton University Press.</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3c-7</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PB56</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Parrondo, J. M. R., Horowitz, J. M., &amp; Sagawa, T. (2015). Thermodynamics of information. Nature Physics, 11(2), 131-139. https://doi.org/10.1038/nphys3230</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3b-3</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PB57</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Platt, J. R. (1964). Strong inference. Science, 146(3642), 347-353. https://doi.org/10.1126/science.146.3642.347</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3a-1</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PB58</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Power, M. (1999). The Audit Society: Rituals of Verification. Oxford University Press. https://doi.org/10.1093/acprof:oso/9780198296034.001.0001</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3c-6, 3c-7, 3c-8</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PB59</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Raji, I. D., Smart, A., White, R. N., Mitchell, M., Gebru, T., Hutchinson, B., Smith-Loud, J., Theron, D., &amp; Barnes, P. (2020). Closing the AI accountability gap: Defining an end-to-end framework for internal algorithmic auditing. Proceedings of the 2020 Conference on Fairness, Accountability, and Transparency, 33–44. https://doi.org/10.1145/3351095.3372873</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3c-6</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PB60</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Rudner, R. (1953). The scientist qua scientist makes value judgments. Philosophy of Science, 20(1), 1-6. https://doi.org/10.1086/287231</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3a-2, 3c-8</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PB61</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Sahdev, D., Sundararaman, R., &amp; Modgil, M. S. (2006). The Gödel universe: A practical travel guide. arXiv:gr-qc/0611093. https://doi.org/10.48550/arXiv.gr-qc/0611093</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3a-1</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PB62</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Sartorio, C. (2004). How to be responsible for something without causing it. Philosophical Perspectives, 18, 315-336. https://doi.org/10.1111/j.1520-8583.2004.00031.x</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3b-4</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PB63</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Selbst, A. D., boyd, d., Friedler, S. A., Venkatasubramanian, S., &amp; Vertesi, J. (2019). Fairness and abstraction in sociotechnical systems. Proceedings of the Conference on Fairness, Accountability, and Transparency, 59–68. https://doi.org/10.1145/3287560.3287598</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3c-6</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PB64</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Simon, H. A. (1955). A behavioral model of rational choice. The Quarterly Journal of Economics, 69(1), 99-118. https://doi.org/10.2307/1884852</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3a-1</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PB65</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Smithson, M. (1989). Ignorance and uncertainty: Emerging paradigms. Springer-Verlag. https://doi.org/10.1007/978-1-4612-3628-3</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3a-2</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PB66</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Sperber, D., Clément, F., Heintz, C., Mascaro, O., Mercier, H., Origgi, G., &amp; Wilson, D. (2010). Epistemic vigilance. Mind &amp; Language, 25(4), 359-393. https://doi.org/10.1111/j.1468-0017.2010.01394.x</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3b-5</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PB67</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Stanford, P. K. (2006). Exceeding our grasp: Science, history, and the problem of unconceived alternatives. Oxford University Press.</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3a-2</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PB68</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Stewart, K. J. (2003). Trust transfer on the World Wide Web. Organization Science, 14(1), 5-17. https://doi.org/10.1287/orsc.14.1.5.12810</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3b-5</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PB69</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Stigler, G. J. (1971). The theory of economic regulation. The Bell Journal of Economics and Management Science, 2(1), 3-21. https://doi.org/10.2307/3003160</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3c-7</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PB70</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Szangolies, J. (2018). Epistemic horizons and the foundations of quantum mechanics. Foundations of Physics, 48(12), 1669-1697. https://doi.org/10.1007/s10701-018-0221-9</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3a-1</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PB71</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Thompson, D. F. (1980). Moral responsibility of public officials: The problem of many hands. American Political Science Review, 74(4), 905-916. https://doi.org/10.2307/1954312</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3b-4</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PB72</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Timmermans, S., &amp; Berg, M. (1997). Standardization in action: Achieving local universality through medical protocols. Social Studies of Science, 27(2), 273-305. https://doi.org/10.1177/030631297027002003</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3c-7</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PB73</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Toulmin, S. E. (1958). The Uses of Argument. Cambridge University Press.</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3c-6, 3c-8</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PB74</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Ulrich, W. (1987). Critical heuristics of social systems design. European Journal of Operational Research, 31(3), 276-283. https://doi.org/10.1016/0377-2217(87)90036-1</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3c-8</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PB75</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Walker, M. U. (2006). Moral repair: Reconstructing moral relations after wrongdoing. Cambridge University Press.</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3b-5</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PB76</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Wittgenstein, L. (1969). On certainty (G. E. M. Anscombe &amp; G. H. von Wright, Eds.; D. Paul &amp; G. E. M. Anscombe, Trans.). Basil Blackwell.</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3b-5</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PB77</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Wolpert, D. H. (2008). Physical limits of inference. Physica D: Nonlinear Phenomena, 237(9), 1257-1281. https://doi.org/10.1016/j.physd.2008.03.040</w:t>
            </w:r>
          </w:p>
        </w:tc>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3a-1</w:t>
            </w:r>
          </w:p>
        </w:tc>
      </w:tr>
    </w:tbl>
    <w:p>
      <w:pPr>
        <w:rPr>
          <w:rFonts w:ascii="Arial" w:hAnsi="Arial" w:eastAsia="Arial" w:cs="Arial"/>
          <w:sz w:val="22"/>
          <w:szCs w:val="22"/>
        </w:rPr>
        <w:pStyle w:val="Normal"/>
        <w:spacing w:before="0" w:after="0" w:line="240" w:lineRule="auto"/>
        <w:keepNext/>
      </w:pPr>
    </w:p>
    <w:p>
      <w:pPr>
        <w:rPr>
          <w:rFonts w:ascii="Arial" w:hAnsi="Arial" w:eastAsia="Arial" w:cs="Arial"/>
          <w:sz w:val="30"/>
          <w:szCs w:val="30"/>
          <w:b w:val="1"/>
          <w:color w:val="1F4E79"/>
        </w:rPr>
        <w:pStyle w:val="Heading1"/>
        <w:keepNext/>
        <w:keepLines/>
      </w:pPr>
      <w:r>
        <w:rPr>
          <w:rFonts w:ascii="Arial" w:hAnsi="Arial" w:eastAsia="Arial" w:cs="Arial"/>
          <w:sz w:val="30"/>
          <w:szCs w:val="30"/>
          <w:b w:val="1"/>
          <w:color w:val="1F4E79"/>
        </w:rPr>
        <w:t>3. Cross-paper publication-identity control</w:t>
      </w:r>
    </w:p>
    <w:tbl>
      <w:tblPr>
        <w:tblStyle w:val="TableGrid"/>
        <w:tblW w:type="auto" w:w="0"/>
        <w:jc w:val="center"/>
        <w:tblLayout w:type="fixed"/>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4032"/>
        <w:gridCol w:w="8064"/>
        <w:gridCol w:w="2448"/>
      </w:tblGrid>
      <w:tr>
        <w:trPr>
          <w:tblHeader/>
        </w:trPr>
        <w:tc>
          <w:tcPr>
            <w:tcW w:type="dxa" w:w="4032"/>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Publication identity</w:t>
            </w:r>
          </w:p>
        </w:tc>
        <w:tc>
          <w:tcPr>
            <w:tcW w:type="dxa" w:w="8064"/>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Paper-local uses</w:t>
            </w:r>
          </w:p>
        </w:tc>
        <w:tc>
          <w:tcPr>
            <w:tcW w:type="dxa" w:w="2448"/>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Control</w:t>
            </w:r>
          </w:p>
        </w:tc>
      </w:tr>
      <w:tr>
        <w:trPr>
          <w:cantSplit/>
        </w:trPr>
        <w:tc>
          <w:tcPr>
            <w:tcW w:type="dxa" w:w="403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Kuhn, T. S. (1970). The structure of scientific revolutions (2nd ed., enlarged). University of Chicago Press.</w:t>
            </w:r>
          </w:p>
        </w:tc>
        <w:tc>
          <w:tcPr>
            <w:tcW w:type="dxa" w:w="80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3a-1: C / OVL / 0; §11, endnote 8. Paradigm stabilisation and retrospective reconstruction provide a science-historical specialisation of stabilisation and lost branch visibility; paradigm theory is not inherited.</w:t>
              <w:br/>
              <w:t>3a-2: C / OVL / 0; §11, endnote 7. Paradigm stabilisation supplies a science-historical comparator for retrospective inevitability. The paper generalises stabilisation and branch-memory without inheriting paradigm theory.</w:t>
            </w:r>
          </w:p>
        </w:tc>
        <w:tc>
          <w:tcPr>
            <w:tcW w:type="dxa" w:w="244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Same publication identity; each paper-local relation remains separately recoverable. Recurrence does not strengthen inheritance.</w:t>
            </w:r>
          </w:p>
        </w:tc>
      </w:tr>
      <w:tr>
        <w:trPr>
          <w:cantSplit/>
        </w:trPr>
        <w:tc>
          <w:tcPr>
            <w:tcW w:type="dxa" w:w="403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Rudner, R. (1953). The scientist qua scientist makes value judgments. Philosophy of Science, 20(1), 1-6. https://doi.org/10.1086/287231</w:t>
            </w:r>
          </w:p>
        </w:tc>
        <w:tc>
          <w:tcPr>
            <w:tcW w:type="dxa" w:w="80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3a-2: C / OVL / 0; §10, endnote 5. Inductive risk makes consequences of error relevant to acceptance. This paper keeps action thresholds under residual distinct from stronger truth or explanatory closure.</w:t>
              <w:br/>
              <w:t>3c-8: C / SPEC / 0; §8, endnote 7. Inductive risk specialises consequence-sensitive acceptance and action thresholds. Action under residual remains distinct from truth or closure status.</w:t>
            </w:r>
          </w:p>
        </w:tc>
        <w:tc>
          <w:tcPr>
            <w:tcW w:type="dxa" w:w="244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Same publication identity; each paper-local relation remains separately recoverable. Recurrence does not strengthen inheritance.</w:t>
            </w:r>
          </w:p>
        </w:tc>
      </w:tr>
      <w:tr>
        <w:trPr>
          <w:cantSplit/>
        </w:trPr>
        <w:tc>
          <w:tcPr>
            <w:tcW w:type="dxa" w:w="403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Albantakis, L., &amp; Tononi, G. (2015). The intrinsic cause-effect power of discrete dynamical systems—From elementary cellular automata to adapting animats. Entropy, 17(8), 5472-5502. https://doi.org/10.3390/e17085472</w:t>
            </w:r>
          </w:p>
        </w:tc>
        <w:tc>
          <w:tcPr>
            <w:tcW w:type="dxa" w:w="80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3b-3: C / OVL / 0; §5, endnote 4. Intrinsic cause-effect power is a comparator for physically constrained counterfactual fields. CIF does not inherit IIT’s intrinsic integration requirements.</w:t>
              <w:br/>
              <w:t>3c-8: C / SPEC / 0; §4, endnote 3. Intrinsic cause-effect repertoires formally specialise physically supported counterfactual possibility fields in conditional Power audits. IIT is not inherited as technical ground.</w:t>
            </w:r>
          </w:p>
        </w:tc>
        <w:tc>
          <w:tcPr>
            <w:tcW w:type="dxa" w:w="244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Same publication identity; each paper-local relation remains separately recoverable. Recurrence does not strengthen inheritance.</w:t>
            </w:r>
          </w:p>
        </w:tc>
      </w:tr>
      <w:tr>
        <w:trPr>
          <w:cantSplit/>
        </w:trPr>
        <w:tc>
          <w:tcPr>
            <w:tcW w:type="dxa" w:w="403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Chockler, H., &amp; Halpern, J. Y. (2004). Responsibility and blame: A structural-model approach. Journal of Artificial Intelligence Research, 22, 93-115. https://doi.org/10.1613/jair.1391</w:t>
            </w:r>
          </w:p>
        </w:tc>
        <w:tc>
          <w:tcPr>
            <w:tcW w:type="dxa" w:w="80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3b-4: C / OVL / 0; §7, endnote 4. Structural-model degrees of responsibility are an examined comparator. The Responsibility Gradient is ordinal and relational, not their universal scalar allocation.</w:t>
              <w:br/>
              <w:t>3c-8: C / SPEC / 0; §4, endnote 3. Structural-model responsibility formally specialises conditional counterfactual attribution. TEM retains NTC/IPL/Power and Provenance/Warrant distinctions without inheriting a universal scalar.</w:t>
            </w:r>
          </w:p>
        </w:tc>
        <w:tc>
          <w:tcPr>
            <w:tcW w:type="dxa" w:w="244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Same publication identity; each paper-local relation remains separately recoverable. Recurrence does not strengthen inheritance.</w:t>
            </w:r>
          </w:p>
        </w:tc>
      </w:tr>
      <w:tr>
        <w:trPr>
          <w:cantSplit/>
        </w:trPr>
        <w:tc>
          <w:tcPr>
            <w:tcW w:type="dxa" w:w="403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Power, M. (1999). The Audit Society: Rituals of Verification. Oxford University Press. https://doi.org/10.1093/acprof:oso/9780198296034.001.0001</w:t>
            </w:r>
          </w:p>
        </w:tc>
        <w:tc>
          <w:tcPr>
            <w:tcW w:type="dxa" w:w="80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3c-6: C / SPEC / 0; §10, endnote 9. Institutional auditing supplies a critical comparator for proportional formalisation. Forms, compliance, and auditability must not replace relation-preservation.</w:t>
              <w:br/>
              <w:t>3c-7: C / SPEC / 0; §2, endnote 1. Verification limits and dysfunctional audit effects supply a comparator for form-as-authority. Governance retains relation-preservation, residual, comparison, safeguard, and update.</w:t>
              <w:br/>
              <w:t>3c-8: C / SPEC / 0; §9, endnote 8. Institutional auditing is a direct comparator for method-compliance hardening into compliance ritual. Procedural completion does not establish relation-preservation.</w:t>
            </w:r>
          </w:p>
        </w:tc>
        <w:tc>
          <w:tcPr>
            <w:tcW w:type="dxa" w:w="244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Same publication identity; each paper-local relation remains separately recoverable. Recurrence does not strengthen inheritance.</w:t>
            </w:r>
          </w:p>
        </w:tc>
      </w:tr>
      <w:tr>
        <w:trPr>
          <w:cantSplit/>
        </w:trPr>
        <w:tc>
          <w:tcPr>
            <w:tcW w:type="dxa" w:w="403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Toulmin, S. E. (1958). The Uses of Argument. Cambridge University Press.</w:t>
            </w:r>
          </w:p>
        </w:tc>
        <w:tc>
          <w:tcPr>
            <w:tcW w:type="dxa" w:w="80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3c-6: C / SPEC / 0; §9, endnote 7. Structured practical justification is a historical comparator. The claim packet does not adopt the Toulmin model and includes distinct finite-access and reliance-path burdens.</w:t>
              <w:br/>
              <w:t>3c-8: C / OVL / 0; §2, endnote 1. Practical argumentation is a structural neighbour. The claim path additionally carries indexed finite-access, carrier, reliance, residual, safeguard, and update burdens without adopting the Toulmin framework.</w:t>
            </w:r>
          </w:p>
        </w:tc>
        <w:tc>
          <w:tcPr>
            <w:tcW w:type="dxa" w:w="244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Same publication identity; each paper-local relation remains separately recoverable. Recurrence does not strengthen inheritance.</w:t>
            </w:r>
          </w:p>
        </w:tc>
      </w:tr>
    </w:tbl>
    <w:p>
      <w:pPr>
        <w:rPr>
          <w:rFonts w:ascii="Arial" w:hAnsi="Arial" w:eastAsia="Arial" w:cs="Arial"/>
          <w:sz w:val="22"/>
          <w:szCs w:val="22"/>
        </w:rPr>
        <w:pStyle w:val="Normal"/>
        <w:spacing w:before="0" w:after="0" w:line="240" w:lineRule="auto"/>
        <w:keepNext/>
      </w:pPr>
    </w:p>
    <w:p>
      <w:pPr>
        <w:rPr>
          <w:rFonts w:ascii="Arial" w:hAnsi="Arial" w:eastAsia="Arial" w:cs="Arial"/>
          <w:sz w:val="30"/>
          <w:szCs w:val="30"/>
          <w:b w:val="1"/>
          <w:color w:val="1F4E79"/>
        </w:rPr>
        <w:pStyle w:val="Heading1"/>
        <w:keepNext/>
        <w:keepLines/>
      </w:pPr>
      <w:r>
        <w:rPr>
          <w:rFonts w:ascii="Arial" w:hAnsi="Arial" w:eastAsia="Arial" w:cs="Arial"/>
          <w:sz w:val="30"/>
          <w:szCs w:val="30"/>
          <w:b w:val="1"/>
          <w:color w:val="1F4E79"/>
        </w:rPr>
        <w:t>4. Paper-local relation register</w:t>
      </w:r>
    </w:p>
    <w:p>
      <w:pPr>
        <w:spacing w:before="0" w:after="120"/>
        <w:rPr>
          <w:rFonts w:ascii="Arial" w:hAnsi="Arial" w:eastAsia="Arial" w:cs="Arial"/>
          <w:sz w:val="30"/>
          <w:szCs w:val="30"/>
          <w:b w:val="1"/>
          <w:color w:val="1F4E79"/>
        </w:rPr>
        <w:keepNext/>
        <w:keepLines/>
      </w:pPr>
      <w:r>
        <w:rPr>
          <w:rFonts w:ascii="Arial" w:hAnsi="Arial" w:eastAsia="Arial" w:cs="Arial"/>
          <w:color w:val="000000"/>
          <w:sz w:val="22"/>
          <w:szCs w:val="30"/>
          <w:b w:val="0"/>
        </w:rPr>
        <w:t>Local relation descriptions below are bounded support summaries of the cited Issue 1 endnotes. Existing publication IDs, maturity codes, class/tag/inheritance values, holds, and residuals are retained. Paper numbering and note/section locators have been reconciled; repeated citations remain separate local relations.</w:t>
      </w:r>
    </w:p>
    <w:tbl>
      <w:tblPr>
        <w:tblStyle w:val="TableGrid"/>
        <w:tblW w:type="auto" w:w="0"/>
        <w:jc w:val="center"/>
        <w:tblLayout w:type="fixed"/>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792"/>
        <w:gridCol w:w="1008"/>
        <w:gridCol w:w="1555"/>
        <w:gridCol w:w="1152"/>
        <w:gridCol w:w="1584"/>
        <w:gridCol w:w="8453"/>
      </w:tblGrid>
      <w:tr>
        <w:trPr>
          <w:tblHeader/>
        </w:trPr>
        <w:tc>
          <w:tcPr>
            <w:tcW w:type="dxa" w:w="792"/>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Part ID</w:t>
            </w:r>
          </w:p>
        </w:tc>
        <w:tc>
          <w:tcPr>
            <w:tcW w:type="dxa" w:w="1008"/>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Paper</w:t>
            </w:r>
          </w:p>
        </w:tc>
        <w:tc>
          <w:tcPr>
            <w:tcW w:type="dxa" w:w="1555"/>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Source</w:t>
            </w:r>
          </w:p>
        </w:tc>
        <w:tc>
          <w:tcPr>
            <w:tcW w:type="dxa" w:w="1152"/>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Maturity</w:t>
            </w:r>
          </w:p>
        </w:tc>
        <w:tc>
          <w:tcPr>
            <w:tcW w:type="dxa" w:w="1584"/>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Class / tag / inheritance</w:t>
            </w:r>
          </w:p>
        </w:tc>
        <w:tc>
          <w:tcPr>
            <w:tcW w:type="dxa" w:w="8453"/>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Locator and local relation</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PB23</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3a-1</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Gödel</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F / DEP / 1</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§9, endnote 7. Gödel’s incompleteness theorem is the exact formal exemplar and a narrowly scoped operational dependency. The wider horizon grammar is not inherited from Gödel.</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PB32</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3a-1</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Humphreys</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SPEC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§6, endnote 4. Computational epistemic opacity supplies a procedural-path comparator. Procedural Availability Horizon generalises beyond computation and remains distinct from internally disclosed closure limits.</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PB33</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3a-1</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Husserl</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 / N-A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 endnote 1. Horizon terminology has phenomenological provenance. The paper’s locus-relative, non-conscious availability/closure grammar is not inherited from phenomenology.</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PB34</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3a-1</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Hutchins</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OVL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§6, endnote 3. Distributed cognition provides a comparator for coupled loci. Coupling here does not establish a distributed mind or cognition.</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PB39</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3a-1</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Kuhn</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OVL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§11, endnote 8. Paradigm stabilisation and retrospective reconstruction provide a science-historical specialisation of stabilisation and lost branch visibility; paradigm theory is not inherited.</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PB57</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3a-1</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Platt</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SPEC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§11, endnote 9. Discriminating alternatives through strong inference specialises comparator discipline. The paper generalises beyond empirical hypotheses and distinguishes epistemic alternatives from causal branches.</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PB61</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3a-1</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Sahdev</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 / N-A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§8, endnote 5. Terminological disambiguation only: the Gödel-spacetime use of “Gödel horizon” is unrelated to this epistemic and methodological grammar.</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PB64</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3a-1</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Simon</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SPEC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§4, endnote 2. Bounded rationality supplies a restricted decision-theoretic comparator. Soft Horizon generalises purpose-indexed provisional closure and retains residual and update; no bounded-rationality machinery is inherited.</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PB70</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3a-1</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Szangolies</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OVL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§8, endnote 6. Quantum-foundational epistemic horizons are an examined comparator. The broader typed availability/closure grammar inherits no quantum or categorical machinery.</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PB77</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3a-1</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Wolpert</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SPEC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§13, endnote 10. Physical inference limits supply a formal specialisation. The claim that finite systems move rather than abolish horizons does not adopt the inference-device formalism.</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PB11</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3a-2</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Chamberlin</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 / N-A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§7, endnote 3. Multiple working hypotheses provide a methodological precursor. The live field adds admissibility, positive exclusion, heterogeneous weighting, residual, and branch-memory.</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PB15</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3a-2</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Douglas</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OVL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§10, endnote 5. Inductive risk makes consequences of error relevant to acceptance. This paper keeps action thresholds under residual distinct from stronger truth or explanatory closure.</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PB18</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3a-2</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Fischhoff</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OVL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§11, endnote 7. Hindsight bias supplies a comparator for outcome knowledge distorting what was previously knowable. Preserve contemporaneous alternatives and avoid retrospective inevitability.</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PB24</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3a-2</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Gross</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OVL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§2, endnote 1. Differentiated and dynamic not-knowing supplies an unknown-status comparator. This paper indexes unknown-status to relation, locus, availability, and closure demand without technical inheritance.</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PB39</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3a-2</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Kuhn</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OVL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§11, endnote 7. Paradigm stabilisation supplies a science-historical comparator for retrospective inevitability. The paper generalises stabilisation and branch-memory without inheriting paradigm theory.</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PB41</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3a-2</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Lempert</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SPEC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§10, endnote 6. Robust adaptive policy under deep uncertainty specialises corrigible action. The quantitative decision method is not inherited.</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PB44</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3a-2</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Lipton</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SPEC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§9, endnote 4. Inference to the best explanation is a comparator. Best Available Formulation is broader in purpose and weaker in closure; explanatory bestness does not supply truth.</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PB48</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3a-2</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Merton</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 / N-A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§6, endnote 2. Specified ignorance is historical provenance for making unknowns inquiry-directing. Residual adds an unmet closure condition, a blocked stronger claim, and an update route.</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PB60</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3a-2</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Rudner</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OVL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§10, endnote 5. Inductive risk makes consequences of error relevant to acceptance. This paper keeps action thresholds under residual distinct from stronger truth or explanatory closure.</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PB65</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3a-2</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Smithson</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OVL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§2, endnote 1. Differentiated and dynamic not-knowing supplies an unknown-status comparator. This paper indexes unknown-status to relation, locus, availability, and closure demand without technical inheritance.</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PB67</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3a-2</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Stanford</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OVL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§11, endnote 7. Unconceived alternatives challenge the inference that eliminating considered candidates exhausts the serious live field. Finite-field incompleteness remains residual.</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PB01</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3b-3</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Albantakis</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OVL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§8, endnote 5. Actual-causation exclusion is a comparator, not this paper’s Counterfactual Exclusion: a relevant alternative already in the CIF is not equivalently realised. No IIT formalism is imported.</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PB02</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3b-3</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Albantakis</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OVL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§5, endnote 4. Intrinsic cause-effect power is a comparator for physically constrained counterfactual fields. CIF does not inherit IIT’s intrinsic integration requirements.</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PB06</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3b-3</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Bartlett</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OVL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 endnote 1. Causal leverage density is an intervention-based semantic-information comparator. Primitive Power instead uses NTC/IPL-localised branch potential without requiring semantic status, viability, or a universal scalar.</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PB09</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3b-3</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Cartwright</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OVL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§4, endnote 2. Causal capacities provide a potential-before-manifestation comparator. Primitive Power retains its own IPL, operative-distinction, comparator, and branch-field discriminator.</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PB14</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3b-3</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Dahl</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OVL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§11, endnote 7. Relational social power supplies a counterfactual difference-making comparator. Primitive Power requires no person, intention, compliance, or social role.</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PB37</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3b-3</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Klyubin</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SPEC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§5, endnote 3. Empowerment is an agent-centric action-channel specialisation of potential influence. CIF requires neither an agent, sensorimotor loop, nor scalar channel capacity.</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PB56</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3b-3</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Parrondo</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F / DEP / 1</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§9, endnote 6. Narrow thermodynamic dependency for physical carriers, work, entropy, and lawful energetic accounting. The distinction-conditioned branch architecture is not inferred from thermodynamics alone.</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PB12</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3b-4</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Chockler</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OVL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§7, endnote 4. Structural-model degrees of responsibility are an examined comparator. The Responsibility Gradient is ordinal and relational, not their universal scalar allocation.</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PB16</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3b-4</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Elish</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CON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§10, endnote 7. Moral crumple zones specialise proximity and role distortions. The audit must recover distributed transformations rather than assign provenance from the nearest accountable human.</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PB17</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3b-4</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Fearnley</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OVL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§8, endnote 5. Omission responsibility supplies a non-application comparator. This paper additionally requires Immediate-Frame availability, governance of application or withholding, and material contribution under comparison.</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PB28</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3b-4</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Hart</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SPEC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§10, endnote 6. The responsibility taxonomy is a precursor to separating causal contribution, role, and liability. The Provenance/Warrant distinction is not inherited from that taxonomy.</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PB31</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3b-4</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Hu</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 / N-A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§5, endnote 2. Agentic-AI responsibility provenance is a functionally significant adjacency and independent convergence. The primitive locus-indexed account does not inherit its tensor or agentic framework.</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PB62</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3b-4</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Sartorio</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CON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§2, endnote 1. Moral responsibility without causation is an adversarial boundary comparator. Primitive Responsibility remains causal-attributional; mature Responsibility Warrants may use additional grounds.</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PB71</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3b-4</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Thompson</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OVL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§6, endnote 3. The many-hands problem supplies a mature-domain comparator for distributed responsibility. Provenance remains a graph of local distinction-conditioned transformations.</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PB03</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3b-5</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Alfano</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 / N-A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§7, endnote 6. Exact-term provenance for vicarious trust in mediated interpersonal reliance with delegation and ratification. The paper generalises to outsourced closure-work across persons and other carriers.</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PB04</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3b-5</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Baier</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CON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§10, endnote 9. Vulnerability and betrayal in mature interpersonal trust provide adversarial scope pressure. Primitive reliance closure is intentionally lower-level; mature normative structures are recovered separately.</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PB19</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3b-5</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Gambetta</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OVL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§6, endnote 5. Expectation under uncertainty supplies a threshold comparator. The paper’s trust threshold is not inherently probabilistic or restricted to agent-to-agent relations.</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PB21</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3b-5</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Gillespie</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SPEC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§11, endnote 10. Organisational trust repair specialises correction of failure-generating conditions. General repair must restore, narrow, or refuse reduced audit; reassurance alone is insufficient.</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PB22</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3b-5</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Gilly</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OVL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§10, endnote 8. Platform-specific trust laundering is an examined comparator and independent-convergence candidate. No developmental dependence or inheritance is established.</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PB25</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3b-5</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Habets</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OVL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§5, endnote 4. Basic trust in skilled environmental engagement is a human ecological comparator. The paper grounds a broader retained and updateable reliance function under residual.</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PB26</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3b-5</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Hardwig</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OVL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§7, endnote 6. Epistemic dependence is a comparator for reliance where individuals cannot reconstruct all evidence locally. Outsourced closure-work retains residual and refuses automatic warrant transfer.</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PB29</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3b-5</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Hawley</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CON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§10, endnote 9. The commitment-based distinction between trust and mere reliance supplies adversarial scope pressure. The paper explicitly uses a lower reliance-closure function.</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PB36</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3b-5</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Johansson</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 / N-A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§9, endnote 7. Prior trust-carrier terminology in organisational accounting is acknowledged. Carrier status is generalised while reliance-strength remains distinct from Responsibility Provenance.</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PB40</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3b-5</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Lee</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OVL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§12, endnote 11. Human-automation trust specialises calibration of reliance. The paper generalises carrier, residual, threshold, safeguard, update, and affected-locus controls without inheriting a human-factors primitive.</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PB46</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3b-5</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Luhmann</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 / N-A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§2, endnote 2. Social complexity reduction supplies a precursor. Branch-space economy is broader, indexed to finite locus, closure demand, residual, threshold, audit, and update; systems theory is not inherited.</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PB66</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3b-5</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Sperber</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SPEC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 endnote 3. Epistemic vigilance specialises rechecking in communication. Primitive audit extends relation-revalidation beyond communicative, propositional, or human cases.</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PB68</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3b-5</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Stewart</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 / N-A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§9, endnote 7. Trust transfer through organisational association and linkage is a separate provenance relation. The paper generalises carrier-mediated reliance without transferring Responsibility Provenance.</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PB75</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3b-5</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Walker</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CON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§10, endnote 9. Moral repair of damaged normative trust supplies adversarial scope pressure. The paper distinguishes primitive trust failure from richer agency- and norm-sensitive repair.</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PB76</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3b-5</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Wittgenstein</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 / N-A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§2, endnote 1. Practical limits to repeated justification provide philosophical provenance. The finite-locus reliance account inherits no language-game epistemology and does not make continuation closure.</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PB05</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3c-6</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Baron</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E / N-A / 1</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§12, endnote 11. Outcome-bias evidence supports the separation of decision quality from outcome success. It is an empirical operational dependency only, without wider framework inheritance.</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PB07</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3c-6</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Bloomfield</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OVL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§9, endnote 8. Assurance 2.0 is a close methodological specialisation organising claims, evidence, defeaters, and residual doubts. The paper generalises beyond assurance of critical properties.</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PB08</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3c-6</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Bowker</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OVL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§5, endnote 4. Infrastructural classifications and standards supply a comparator. TEM adds the recoverable relation, locus, abstraction, evidence, residual, safeguard, and update burden.</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PB20</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3c-6</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Gebru</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 / N-A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§7, endnote 6. Dataset documentation specialises provenance, composition, intended use, and limitations. The general claim packet carries additional relation, closure, comparison, residual, and action burdens.</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PB35</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3c-6</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Ionescu</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 / N-A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§4, endnote 3. Epistemic debt as accumulated technical ignorance in smart manufacturing supplies prior terminology. The present usage concerns deferred grounding of load-bearing claims; no inheritance is claimed.</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PB42</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3c-6</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Li</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 / N-A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§4, endnote 3. Epistemic debt as deferred verification in AI-assisted research is an independent terminology use. The present load-bearing-grounding account makes no priority or inheritance claim.</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PB43</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3c-6</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Lipsky</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SPEC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 endnote 1. Street-level discretion specialises situated judgement under rules and resource limits. The paper generalises recoverability of consequential judgement without inheriting the institutional theory.</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PB50</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3c-6</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Mitchell</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 / N-A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§7, endnote 6. Model documentation specialises evaluation conditions, intended use, and limitations. The general claim packet carries additional relation, closure, comparison, residual, and action burdens.</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PB52</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3c-6</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Nissenbaum</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OVL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 endnote 2. Computerised accountability barriers are a comparator for non-transfer and non-erasure of responsibility. Responsibility Provenance/Warrant remains inherited from GOT.</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PB58</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3c-6</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Power</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SPEC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§10, endnote 9. Institutional auditing supplies a critical comparator for proportional formalisation. Forms, compliance, and auditability must not replace relation-preservation.</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PB59</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3c-6</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Raji</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OVL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§11, endnote 10. Lifecycle algorithmic auditing specialises prospective and retrospective recoverability. The general claim path does not make documentation or organisational audit epistemic warrant.</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PB63</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3c-6</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Selbst</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OVL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§7, endnote 5. Fairness abstraction traps specialise the failure of machine execution to repair upstream under-specification. The argument extends beyond fairness and machine learning.</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PB73</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3c-6</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Toulmin</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SPEC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§9, endnote 7. Structured practical justification is a historical comparator. The claim packet does not adopt the Toulmin model and includes distinct finite-access and reliance-path burdens.</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PB13</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3c-7</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Cihon</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OVL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§9, endnote 8. AI certification specialises the certification-closure guardrail. A certificate remains a scoped operational trust carrier with residual and re-audit conditions, not epistemic ground.</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PB27</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3c-7</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Hart</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SPEC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§7, endnote 6. Legal rules of change specialise amendment grammar. Legitimate epistemic revision requires demonstrated relational failure and comparative preservation, beyond authorised procedure.</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PB30</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3c-7</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Hirschman</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OVL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§8, endnote 7. Exit and voice supply an organisational-response comparator for dissent and alternatives. A method fork is not merely exit and dissent is not merely voice.</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PB45</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3c-7</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Longino</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OVL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§4, endnote 3. Social critical interaction supplies an objectivity comparator. Public challenge can expose relational failure but participation or consensus does not establish epistemic standing.</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PB49</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3c-7</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Meyer</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SPEC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§2, endnote 1. Institutional decoupling supplies a comparator for formal legitimacy without corresponding practice. Governance carriers must preserve recoverable relation rather than symbolic authority.</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PB53</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3c-7</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Nyman</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P/C / SPEC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§8, endnote 7. Competitive forks supply prior terminology and an open-source operational specialisation. A rival method must preserve comparison, residual, scope, and update to serve correction.</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PB54</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3c-7</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O'Mahony</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SPEC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§6, endnote 5. Corrigible authority in an open-source community is an operational governance comparator. Democratic or custodial authority may govern correction without creating epistemic strength by status.</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PB55</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3c-7</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Ostrom</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OVL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§5, endnote 4. Institutional operational/collective/constitutional choice levels specialise level separation. The method’s own three levels do not inherit IAD or institutional rule-making authority.</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PB58</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3c-7</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Power</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SPEC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§2, endnote 1. Verification limits and dysfunctional audit effects supply a comparator for form-as-authority. Governance retains relation-preservation, residual, comparison, safeguard, and update.</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PB69</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3c-7</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Stigler</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OVL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 endnote 2. Regulatory capture is a restricted domain specialisation. The wider capture account covers pressures weakening relation-preserving burdens; no public-choice framework is inherited.</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PB72</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3c-7</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Timmermans</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OVL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§5, endnote 4. Local universality specialises workable situated adaptation of protocols. It does not supply the method’s governance framework.</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PB02</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3c-8</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Albantakis</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SPEC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§4, endnote 3. Intrinsic cause-effect repertoires formally specialise physically supported counterfactual possibility fields in conditional Power audits. IIT is not inherited as technical ground.</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PB10</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3c-8</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Cartwright</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CON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§9, endnote 8. Heterogeneous scientific reliability supplies adversarial pressure against a universal method guarantee. TEM cannot replace domain judgement or create closure by completion.</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PB12</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3c-8</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Chockler</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SPEC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§4, endnote 3. Structural-model responsibility formally specialises conditional counterfactual attribution. TEM retains NTC/IPL/Power and Provenance/Warrant distinctions without inheriting a universal scalar.</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PB38</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3c-8</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Knobloch</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 / N-A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 endnote 2. Relational uncertainty has prior interpersonal-communication usage. TEM uses a different indexed relation-preservation meaning; this is terminology provenance and disambiguation, not inheritance.</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PB47</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3c-8</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Mayo</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OVL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§6, endnote 6. Evidential severity specialises discriminatory comparator pressure. The method neither inherits error-statistical formalism nor restricts comparison to statistical inference.</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PB51</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3c-8</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Moreau</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OVL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§5, endnote 5. PROV-style provenance specialises recoverable entity/activity/agent paths. Provenance or record recovery does not by itself supply epistemic warrant.</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PB58</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3c-8</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Power</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SPEC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§9, endnote 8. Institutional auditing is a direct comparator for method-compliance hardening into compliance ritual. Procedural completion does not establish relation-preservation.</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PB60</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3c-8</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Rudner</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SPEC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§8, endnote 7. Inductive risk specialises consequence-sensitive acceptance and action thresholds. Action under residual remains distinct from truth or closure status.</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PB73</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3c-8</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Toulmin</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OVL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§2, endnote 1. Practical argumentation is a structural neighbour. The claim path additionally carries indexed finite-access, carrier, reliance, residual, safeguard, and update burdens without adopting the Toulmin framework.</w:t>
            </w:r>
          </w:p>
        </w:tc>
      </w:tr>
      <w:tr>
        <w:trPr>
          <w:cantSplit/>
        </w:trPr>
        <w:tc>
          <w:tcPr>
            <w:tcW w:type="dxa" w:w="7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PB74</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3c-8</w:t>
            </w:r>
          </w:p>
        </w:tc>
        <w:tc>
          <w:tcPr>
            <w:tcW w:type="dxa" w:w="155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Ulrich</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A3</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 / OVL / 0</w:t>
            </w:r>
          </w:p>
        </w:tc>
        <w:tc>
          <w:tcPr>
            <w:tcW w:type="dxa" w:w="845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§4, endnote 4. Critical Systems Heuristics specialises explicit boundaries and affected parties. The method is broader than normative systems design and does not inherit that framework.</w:t>
            </w:r>
          </w:p>
        </w:tc>
      </w:tr>
    </w:tbl>
    <w:p>
      <w:pPr>
        <w:rPr>
          <w:rFonts w:ascii="Arial" w:hAnsi="Arial" w:eastAsia="Arial" w:cs="Arial"/>
          <w:sz w:val="22"/>
          <w:szCs w:val="22"/>
        </w:rPr>
        <w:pStyle w:val="Normal"/>
        <w:spacing w:before="0" w:after="0" w:line="240" w:lineRule="auto"/>
        <w:keepNext/>
      </w:pPr>
    </w:p>
    <w:p>
      <w:pPr>
        <w:rPr>
          <w:rFonts w:ascii="Arial" w:hAnsi="Arial" w:eastAsia="Arial" w:cs="Arial"/>
          <w:sz w:val="30"/>
          <w:szCs w:val="30"/>
          <w:b w:val="1"/>
          <w:color w:val="1F4E79"/>
        </w:rPr>
        <w:pStyle w:val="Heading1"/>
        <w:keepNext/>
        <w:keepLines/>
      </w:pPr>
      <w:r>
        <w:rPr>
          <w:rFonts w:ascii="Arial" w:hAnsi="Arial" w:eastAsia="Arial" w:cs="Arial"/>
          <w:sz w:val="30"/>
          <w:szCs w:val="30"/>
          <w:b w:val="1"/>
          <w:color w:val="1F4E79"/>
        </w:rPr>
        <w:t>5. Hold / exclusion branch-memory</w:t>
      </w:r>
    </w:p>
    <w:tbl>
      <w:tblPr>
        <w:tblStyle w:val="TableGrid"/>
        <w:tblW w:type="auto" w:w="0"/>
        <w:jc w:val="center"/>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4848"/>
        <w:gridCol w:w="4848"/>
        <w:gridCol w:w="4848"/>
      </w:tblGrid>
      <w:tr>
        <w:trPr>
          <w:tblHeader/>
        </w:trPr>
        <w:tc>
          <w:tcPr>
            <w:tcW w:type="dxa" w:w="1008"/>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Paper</w:t>
            </w:r>
          </w:p>
        </w:tc>
        <w:tc>
          <w:tcPr>
            <w:tcW w:type="dxa" w:w="6048"/>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Held / excluded candidates</w:t>
            </w:r>
          </w:p>
        </w:tc>
        <w:tc>
          <w:tcPr>
            <w:tcW w:type="dxa" w:w="7920"/>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Control and update condition</w:t>
            </w:r>
          </w:p>
        </w:tc>
      </w:tr>
      <w:tr>
        <w:trPr>
          <w:cantSplit/>
        </w:trPr>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3a-1</w:t>
            </w:r>
          </w:p>
        </w:tc>
        <w:tc>
          <w:tcPr>
            <w:tcW w:type="dxa" w:w="604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Turing (1937); Clark &amp; Chalmers (1998); Floridi (2008).</w:t>
            </w:r>
          </w:p>
        </w:tc>
        <w:tc>
          <w:tcPr>
            <w:tcW w:type="dxa" w:w="792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Retain as formal computability, extended-mind, and abstraction neighbours where locally redundant or scope-misaligned. Reopen only if those narrower relations become load-bearing in Paper 3a-1.</w:t>
            </w:r>
          </w:p>
        </w:tc>
      </w:tr>
      <w:tr>
        <w:trPr>
          <w:cantSplit/>
        </w:trPr>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3a-2</w:t>
            </w:r>
          </w:p>
        </w:tc>
        <w:tc>
          <w:tcPr>
            <w:tcW w:type="dxa" w:w="604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Alchourrón, Gärdenfors &amp; Makinson (1985); Knight (1921); Simon (1955); Walley (1991); adaptive-management literature including Williams et al.</w:t>
            </w:r>
          </w:p>
        </w:tc>
        <w:tc>
          <w:tcPr>
            <w:tcW w:type="dxa" w:w="792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Retain formal belief-revision, risk/uncertainty, satisficing, imprecise-probability, and adaptive-management neighbours. Reopen only if Paper 3a-2 adopts the corresponding formal or decision architecture.</w:t>
            </w:r>
          </w:p>
        </w:tc>
      </w:tr>
      <w:tr>
        <w:trPr>
          <w:cantSplit/>
        </w:trPr>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3b-3</w:t>
            </w:r>
          </w:p>
        </w:tc>
        <w:tc>
          <w:tcPr>
            <w:tcW w:type="dxa" w:w="604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Woodward interventionism; Kolchinsky &amp; Wolpert semantic information; control-theoretic controllability; Hoel causal emergence; Cheng causal-power accounts.</w:t>
            </w:r>
          </w:p>
        </w:tc>
        <w:tc>
          <w:tcPr>
            <w:tcW w:type="dxa" w:w="792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Hold where the neighbour either imports a stronger architecture, duplicates the admitted causal/potential comparators, or shifts from primitive branch potential into higher-order causal or control structure.</w:t>
            </w:r>
          </w:p>
        </w:tc>
      </w:tr>
      <w:tr>
        <w:trPr>
          <w:cantSplit/>
        </w:trPr>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3b-4</w:t>
            </w:r>
          </w:p>
        </w:tc>
        <w:tc>
          <w:tcPr>
            <w:tcW w:type="dxa" w:w="604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Fan Mingdi terminology lead; Fischer &amp; Ravizza; Matthias; van de Poel; Cheney-style provenance; Meliou-style responsibility/accountability formalisms.</w:t>
            </w:r>
          </w:p>
        </w:tc>
        <w:tc>
          <w:tcPr>
            <w:tcW w:type="dxa" w:w="792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Hold mature moral-responsibility, responsibility-gap, distributed-responsibility, and provenance programmes unless Paper 3b-4 adopts their stronger agency, normative, or formal machinery. Terminology-only leads remain non-published.</w:t>
            </w:r>
          </w:p>
        </w:tc>
      </w:tr>
      <w:tr>
        <w:trPr>
          <w:cantSplit/>
        </w:trPr>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3b-5</w:t>
            </w:r>
          </w:p>
        </w:tc>
        <w:tc>
          <w:tcPr>
            <w:tcW w:type="dxa" w:w="604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O'Neill (2014); Jacovi et al. (2021); Mayer, Davis &amp; Schoorman (1995); Giddens (1990); Ratcliffe (2008); Hoff &amp; Bashir (2015).</w:t>
            </w:r>
          </w:p>
        </w:tc>
        <w:tc>
          <w:tcPr>
            <w:tcW w:type="dxa" w:w="792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Hold normative trustworthiness, explainability/trust, organisational, phenomenological, and automation specialisations where redundant with the admitted set or stronger than the primitive reliance-closure claim.</w:t>
            </w:r>
          </w:p>
        </w:tc>
      </w:tr>
      <w:tr>
        <w:trPr>
          <w:cantSplit/>
        </w:trPr>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3c-6</w:t>
            </w:r>
          </w:p>
        </w:tc>
        <w:tc>
          <w:tcPr>
            <w:tcW w:type="dxa" w:w="604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W3C PROV / provenance standards; Gallie-style essentially contested concepts; Kroll et al. accountability; broader assurance/audit frameworks already locally redundant.</w:t>
            </w:r>
          </w:p>
        </w:tc>
        <w:tc>
          <w:tcPr>
            <w:tcW w:type="dxa" w:w="792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Reopen only if provenance formalism, contested-concept theory, or algorithmic accountability becomes a direct technical dependency rather than a comparator to recoverability.</w:t>
            </w:r>
          </w:p>
        </w:tc>
      </w:tr>
      <w:tr>
        <w:trPr>
          <w:cantSplit/>
        </w:trPr>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3c-7</w:t>
            </w:r>
          </w:p>
        </w:tc>
        <w:tc>
          <w:tcPr>
            <w:tcW w:type="dxa" w:w="604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Lessig and wider code/regulation programmes; broader standards, accreditation, conformity-assessment, and institutional capture literatures.</w:t>
            </w:r>
          </w:p>
        </w:tc>
        <w:tc>
          <w:tcPr>
            <w:tcW w:type="dxa" w:w="792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Hold where operational governance is informative but does not improve the paper-specific discriminator: amendment and authority remain answerable to demonstrated relation-preservation.</w:t>
            </w:r>
          </w:p>
        </w:tc>
      </w:tr>
      <w:tr>
        <w:trPr>
          <w:cantSplit/>
        </w:trPr>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3c-8</w:t>
            </w:r>
          </w:p>
        </w:tc>
        <w:tc>
          <w:tcPr>
            <w:tcW w:type="dxa" w:w="604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Metcalf et al. (2023); O'Neill (2014); Tim Kelly, Arguing Safety (1998); generic 'epistemic method', 'epistemic audit', and 'relational audit' term families.</w:t>
            </w:r>
          </w:p>
        </w:tc>
        <w:tc>
          <w:tcPr>
            <w:tcW w:type="dxa" w:w="792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Hold machine-specific accountability, normative trustworthiness, safety-case assurance, and generic terminology where they do not reproduce the full integrated audit architecture or are redundant with stronger admitted comparators.</w:t>
            </w:r>
          </w:p>
        </w:tc>
      </w:tr>
    </w:tbl>
    <w:p>
      <w:pPr>
        <w:rPr>
          <w:rFonts w:ascii="Arial" w:hAnsi="Arial" w:eastAsia="Arial" w:cs="Arial"/>
          <w:sz w:val="22"/>
          <w:szCs w:val="22"/>
        </w:rPr>
        <w:pStyle w:val="Normal"/>
        <w:spacing w:before="0" w:after="0" w:line="240" w:lineRule="auto"/>
        <w:keepNext/>
      </w:pPr>
    </w:p>
    <w:p>
      <w:pPr>
        <w:rPr>
          <w:rFonts w:ascii="Arial" w:hAnsi="Arial" w:eastAsia="Arial" w:cs="Arial"/>
          <w:sz w:val="30"/>
          <w:szCs w:val="30"/>
          <w:b w:val="1"/>
          <w:color w:val="1F4E79"/>
        </w:rPr>
        <w:pStyle w:val="Heading1"/>
        <w:keepNext/>
        <w:keepLines/>
      </w:pPr>
      <w:r>
        <w:rPr>
          <w:rFonts w:ascii="Arial" w:hAnsi="Arial" w:eastAsia="Arial" w:cs="Arial"/>
          <w:sz w:val="30"/>
          <w:szCs w:val="30"/>
          <w:b w:val="1"/>
          <w:color w:val="1F4E79"/>
        </w:rPr>
        <w:t>6. Paper-level search residual</w:t>
      </w:r>
    </w:p>
    <w:tbl>
      <w:tblPr>
        <w:tblStyle w:val="TableGrid"/>
        <w:tblW w:type="auto" w:w="0"/>
        <w:jc w:val="center"/>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7272"/>
        <w:gridCol w:w="7272"/>
      </w:tblGrid>
      <w:tr>
        <w:trPr>
          <w:tblHeader/>
        </w:trPr>
        <w:tc>
          <w:tcPr>
            <w:tcW w:type="dxa" w:w="1152"/>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Paper</w:t>
            </w:r>
          </w:p>
        </w:tc>
        <w:tc>
          <w:tcPr>
            <w:tcW w:type="dxa" w:w="13680"/>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Residual carried forward</w:t>
            </w:r>
          </w:p>
        </w:tc>
      </w:tr>
      <w:tr>
        <w:trPr>
          <w:cantSplit/>
        </w:trPr>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3a-1</w:t>
            </w:r>
          </w:p>
        </w:tc>
        <w:tc>
          <w:tcPr>
            <w:tcW w:type="dxa" w:w="1368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Further proof-theoretic families; phenomenology/direct realism; institutional ignorance; legal access; archival/lost alternatives; verification/interpretability; non-English and inaccessible work.</w:t>
            </w:r>
          </w:p>
        </w:tc>
      </w:tr>
      <w:tr>
        <w:trPr>
          <w:cantSplit/>
        </w:trPr>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3a-2</w:t>
            </w:r>
          </w:p>
        </w:tc>
        <w:tc>
          <w:tcPr>
            <w:tcW w:type="dxa" w:w="1368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Further formal revision/uncertainty calculi; risk traditions; adaptive management; imprecise probability; non-English/inaccessible scholarship; terminology-independent analogues.</w:t>
            </w:r>
          </w:p>
        </w:tc>
      </w:tr>
      <w:tr>
        <w:trPr>
          <w:cantSplit/>
        </w:trPr>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3b-3</w:t>
            </w:r>
          </w:p>
        </w:tc>
        <w:tc>
          <w:tcPr>
            <w:tcW w:type="dxa" w:w="1368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Control theory; interventionist causation; causal emergence; semantic information; agency/control measures; social-power genealogies; thermodynamic work-channel formalisms; unrecognised cross-disciplinary branch-potential analogues.</w:t>
            </w:r>
          </w:p>
        </w:tc>
      </w:tr>
      <w:tr>
        <w:trPr>
          <w:cantSplit/>
        </w:trPr>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3b-4</w:t>
            </w:r>
          </w:p>
        </w:tc>
        <w:tc>
          <w:tcPr>
            <w:tcW w:type="dxa" w:w="1368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Moral/legal responsibility; omission; distributed agency; accountability; provenance; responsibility gaps; formal causal responsibility; institutional allocation; non-English/inaccessible work.</w:t>
            </w:r>
          </w:p>
        </w:tc>
      </w:tr>
      <w:tr>
        <w:trPr>
          <w:cantSplit/>
        </w:trPr>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3b-5</w:t>
            </w:r>
          </w:p>
        </w:tc>
        <w:tc>
          <w:tcPr>
            <w:tcW w:type="dxa" w:w="1368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Attachment/developmental trust; phenomenology; games; fiduciary/legal reliance; legitimacy/certification; trust transfer and repair; machine trust; non-English/inaccessible work.</w:t>
            </w:r>
          </w:p>
        </w:tc>
      </w:tr>
      <w:tr>
        <w:trPr>
          <w:cantSplit/>
        </w:trPr>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3c-6</w:t>
            </w:r>
          </w:p>
        </w:tc>
        <w:tc>
          <w:tcPr>
            <w:tcW w:type="dxa" w:w="1368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Legal/administrative formalisation; public-sector discretion; standards/certification; organisational categories; assurance/safety cases; algorithmic audit; non-English/inaccessible work.</w:t>
            </w:r>
          </w:p>
        </w:tc>
      </w:tr>
      <w:tr>
        <w:trPr>
          <w:cantSplit/>
        </w:trPr>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3c-7</w:t>
            </w:r>
          </w:p>
        </w:tc>
        <w:tc>
          <w:tcPr>
            <w:tcW w:type="dxa" w:w="1368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Jurisprudential amendment; accreditation/conformity assessment; metascience; fork governance; public participation; verification/validation; AI certification; non-English/inaccessible work.</w:t>
            </w:r>
          </w:p>
        </w:tc>
      </w:tr>
      <w:tr>
        <w:trPr>
          <w:cantSplit/>
        </w:trPr>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3c-8</w:t>
            </w:r>
          </w:p>
        </w:tc>
        <w:tc>
          <w:tcPr>
            <w:tcW w:type="dxa" w:w="1368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Further formal epistemology; legal evidence; systems assurance; audit standards; reliability theory; methodology critique; domain-specific implementations; non-English/inaccessible work.</w:t>
            </w:r>
          </w:p>
        </w:tc>
      </w:tr>
    </w:tbl>
    <w:p>
      <w:pPr>
        <w:rPr>
          <w:rFonts w:ascii="Arial" w:hAnsi="Arial" w:eastAsia="Arial" w:cs="Arial"/>
          <w:sz w:val="22"/>
          <w:szCs w:val="22"/>
        </w:rPr>
        <w:pStyle w:val="Normal"/>
        <w:spacing w:before="0" w:after="0" w:line="240" w:lineRule="auto"/>
        <w:keepNext/>
      </w:pPr>
    </w:p>
    <w:p>
      <w:pPr>
        <w:rPr>
          <w:rFonts w:ascii="Arial" w:hAnsi="Arial" w:eastAsia="Arial" w:cs="Arial"/>
          <w:sz w:val="30"/>
          <w:szCs w:val="30"/>
          <w:b w:val="1"/>
          <w:color w:val="1F4E79"/>
        </w:rPr>
        <w:pStyle w:val="Heading1"/>
        <w:keepNext/>
        <w:keepLines/>
      </w:pPr>
      <w:r>
        <w:rPr>
          <w:rFonts w:ascii="Arial" w:hAnsi="Arial" w:eastAsia="Arial" w:cs="Arial"/>
          <w:sz w:val="30"/>
          <w:szCs w:val="30"/>
          <w:b w:val="1"/>
          <w:color w:val="1F4E79"/>
        </w:rPr>
        <w:t>7. Inheritance and dependency controls</w:t>
      </w:r>
    </w:p>
    <w:tbl>
      <w:tblPr>
        <w:tblStyle w:val="TableGrid"/>
        <w:tblW w:type="auto" w:w="0"/>
        <w:jc w:val="center"/>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7272"/>
        <w:gridCol w:w="7272"/>
      </w:tblGrid>
      <w:tr>
        <w:trPr>
          <w:tblHeader/>
        </w:trPr>
        <w:tc>
          <w:tcPr>
            <w:tcW w:type="dxa" w:w="3168"/>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Control</w:t>
            </w:r>
          </w:p>
        </w:tc>
        <w:tc>
          <w:tcPr>
            <w:tcW w:type="dxa" w:w="11664"/>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Rule</w:t>
            </w:r>
          </w:p>
        </w:tc>
      </w:tr>
      <w:tr>
        <w:trPr>
          <w:cantSplit/>
        </w:trPr>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Citation does not transfer warrant</w:t>
            </w:r>
          </w:p>
        </w:tc>
        <w:tc>
          <w:tcPr>
            <w:tcW w:type="dxa" w:w="116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 publication remains evidence of a recoverable relation, not authority for the paper’s discriminator.</w:t>
            </w:r>
          </w:p>
        </w:tc>
      </w:tr>
      <w:tr>
        <w:trPr>
          <w:cantSplit/>
        </w:trPr>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Adjacency does not imply inheritance</w:t>
            </w:r>
          </w:p>
        </w:tc>
        <w:tc>
          <w:tcPr>
            <w:tcW w:type="dxa" w:w="116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A2/A3 relations remain comparator/adjacency relations unless a separate inheritance audit promotes them.</w:t>
            </w:r>
          </w:p>
        </w:tc>
      </w:tr>
      <w:tr>
        <w:trPr>
          <w:cantSplit/>
        </w:trPr>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Indexed Inheritance</w:t>
            </w:r>
          </w:p>
        </w:tc>
        <w:tc>
          <w:tcPr>
            <w:tcW w:type="dxa" w:w="116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No current Part 3 paper-level bibliography relation is promoted here to inheritance level 2.</w:t>
            </w:r>
          </w:p>
        </w:tc>
      </w:tr>
      <w:tr>
        <w:trPr>
          <w:cantSplit/>
        </w:trPr>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Formal / technical dependency</w:t>
            </w:r>
          </w:p>
        </w:tc>
        <w:tc>
          <w:tcPr>
            <w:tcW w:type="dxa" w:w="116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Gödel (1931) is F / DEP / 1 in Paper 3a-1 for the formal incompleteness exemplar. Parrondo, Horowitz &amp; Sagawa (2015) is F / DEP / 1 in Paper 3b-3 only for the thermodynamic ground of information processing/work/entropy. Neither transfers the wider originating framework.</w:t>
            </w:r>
          </w:p>
        </w:tc>
      </w:tr>
      <w:tr>
        <w:trPr>
          <w:cantSplit/>
        </w:trPr>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Empirical dependency</w:t>
            </w:r>
          </w:p>
        </w:tc>
        <w:tc>
          <w:tcPr>
            <w:tcW w:type="dxa" w:w="116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Baron &amp; Hershey (1988) is E / N-A / 1 in Paper 3c-6 for outcome bias; the wider decision-psychology framework is not inherited.</w:t>
            </w:r>
          </w:p>
        </w:tc>
      </w:tr>
      <w:tr>
        <w:trPr>
          <w:cantSplit/>
        </w:trPr>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Provenance remains local</w:t>
            </w:r>
          </w:p>
        </w:tc>
        <w:tc>
          <w:tcPr>
            <w:tcW w:type="dxa" w:w="116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P-class entries recover terminology or intellectual provenance without importing external machinery.</w:t>
            </w:r>
          </w:p>
        </w:tc>
      </w:tr>
      <w:tr>
        <w:trPr>
          <w:cantSplit/>
        </w:trPr>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Comparator pressure remains local</w:t>
            </w:r>
          </w:p>
        </w:tc>
        <w:tc>
          <w:tcPr>
            <w:tcW w:type="dxa" w:w="116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C-class entries state overlap, contradiction, or specialisation without becoming a Part-wide dependency.</w:t>
            </w:r>
          </w:p>
        </w:tc>
      </w:tr>
      <w:tr>
        <w:trPr>
          <w:cantSplit/>
        </w:trPr>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Conditional audit repetition</w:t>
            </w:r>
          </w:p>
        </w:tc>
        <w:tc>
          <w:tcPr>
            <w:tcW w:type="dxa" w:w="116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Albantakis &amp; Tononi and Chockler &amp; Halpern recur in Paper 3c-8 because the integrated method audits Power/Responsibility claims; that repetition does not make their formalisms TEM dependencies.</w:t>
            </w:r>
          </w:p>
        </w:tc>
      </w:tr>
    </w:tbl>
    <w:p>
      <w:pPr>
        <w:rPr>
          <w:rFonts w:ascii="Arial" w:hAnsi="Arial" w:eastAsia="Arial" w:cs="Arial"/>
          <w:sz w:val="22"/>
          <w:szCs w:val="22"/>
        </w:rPr>
        <w:pStyle w:val="Normal"/>
        <w:spacing w:before="0" w:after="0" w:line="240" w:lineRule="auto"/>
        <w:keepNext/>
      </w:pPr>
    </w:p>
    <w:p>
      <w:pPr>
        <w:rPr>
          <w:rFonts w:ascii="Arial" w:hAnsi="Arial" w:eastAsia="Arial" w:cs="Arial"/>
          <w:sz w:val="30"/>
          <w:szCs w:val="30"/>
          <w:b w:val="1"/>
          <w:color w:val="1F4E79"/>
        </w:rPr>
        <w:pStyle w:val="Heading1"/>
        <w:keepNext/>
        <w:keepLines/>
      </w:pPr>
      <w:r>
        <w:rPr>
          <w:rFonts w:ascii="Arial" w:hAnsi="Arial" w:eastAsia="Arial" w:cs="Arial"/>
          <w:sz w:val="30"/>
          <w:szCs w:val="30"/>
          <w:b w:val="1"/>
          <w:color w:val="1F4E79"/>
        </w:rPr>
        <w:t>8. Part residual and bounded discovery statement</w:t>
      </w:r>
    </w:p>
    <w:p>
      <w:pPr>
        <w:rPr>
          <w:rFonts w:ascii="Arial" w:hAnsi="Arial" w:eastAsia="Arial" w:cs="Arial"/>
          <w:sz w:val="22"/>
          <w:szCs w:val="22"/>
        </w:rPr>
      </w:pPr>
      <w:r>
        <w:rPr>
          <w:rFonts w:ascii="Arial" w:hAnsi="Arial" w:eastAsia="Arial" w:cs="Arial"/>
          <w:sz w:val="22"/>
          <w:szCs w:val="22"/>
        </w:rPr>
        <w:t>This reconciliation checks the Issue 1 reference lists and local endnotes; it does not conduct a new external discovery pass or promote relation classifications. The earlier paper-level discovery and delta/posture work is not an exhaustive prior-art search. The consolidated register preserves the strongest examined neighbourhoods, holds, exclusions, and current source identities. No further material adjacency was identified within the searched fields and search conditions for the completed paper-level passes. Unsearched, inaccessible, non-English, later-published, or unrecognised terminology-independent adjacency remains residual.</w:t>
      </w:r>
    </w:p>
    <w:p>
      <w:pPr>
        <w:rPr>
          <w:rFonts w:ascii="Arial" w:hAnsi="Arial" w:eastAsia="Arial" w:cs="Arial"/>
          <w:sz w:val="30"/>
          <w:szCs w:val="30"/>
          <w:b w:val="1"/>
          <w:color w:val="1F4E79"/>
        </w:rPr>
        <w:pStyle w:val="Heading1"/>
        <w:keepNext/>
        <w:keepLines/>
      </w:pPr>
      <w:r>
        <w:rPr>
          <w:rFonts w:ascii="Arial" w:hAnsi="Arial" w:eastAsia="Arial" w:cs="Arial"/>
          <w:sz w:val="30"/>
          <w:szCs w:val="30"/>
          <w:b w:val="1"/>
          <w:color w:val="1F4E79"/>
        </w:rPr>
        <w:t>9. Series handoff</w:t>
      </w:r>
    </w:p>
    <w:p>
      <w:pPr>
        <w:rPr>
          <w:rFonts w:ascii="Arial" w:hAnsi="Arial" w:eastAsia="Arial" w:cs="Arial"/>
          <w:sz w:val="22"/>
          <w:szCs w:val="22"/>
        </w:rPr>
      </w:pPr>
      <w:r>
        <w:rPr>
          <w:rFonts w:ascii="Arial" w:hAnsi="Arial" w:eastAsia="Arial" w:cs="Arial"/>
          <w:sz w:val="22"/>
          <w:szCs w:val="22"/>
        </w:rPr>
        <w:t>This register is ready to feed the Series Master Bibliography. At Series level, the 77 Part 3 publication identities may be deduplicated again against Parts 1 and 2, but each Part 3 paper-local relation must remain separately recoverable. The Series pass must not treat repeated authors, repeated publications, or repeated comparator neighbourhoods as evidence of framework-level inheritance.</w:t>
      </w:r>
    </w:p>
    <w:p>
      <w:pPr>
        <w:rPr>
          <w:rFonts w:ascii="Arial" w:hAnsi="Arial" w:eastAsia="Arial" w:cs="Arial"/>
          <w:sz w:val="30"/>
          <w:szCs w:val="30"/>
          <w:b w:val="1"/>
          <w:color w:val="1F4E79"/>
        </w:rPr>
        <w:pStyle w:val="Heading1"/>
        <w:keepNext/>
        <w:keepLines/>
      </w:pPr>
      <w:r>
        <w:rPr>
          <w:rFonts w:ascii="Arial" w:hAnsi="Arial" w:eastAsia="Arial" w:cs="Arial"/>
          <w:sz w:val="30"/>
          <w:szCs w:val="30"/>
          <w:b w:val="1"/>
          <w:color w:val="1F4E79"/>
        </w:rPr>
        <w:t>10. Release checklist</w:t>
      </w:r>
    </w:p>
    <w:tbl>
      <w:tblPr>
        <w:tblStyle w:val="TableGrid"/>
        <w:tblW w:type="auto" w:w="0"/>
        <w:jc w:val="center"/>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7272"/>
        <w:gridCol w:w="7272"/>
      </w:tblGrid>
      <w:tr>
        <w:trPr>
          <w:tblHeader/>
        </w:trPr>
        <w:tc>
          <w:tcPr>
            <w:tcW w:type="dxa" w:w="3024"/>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Checklist item</w:t>
            </w:r>
          </w:p>
        </w:tc>
        <w:tc>
          <w:tcPr>
            <w:tcW w:type="dxa" w:w="11808"/>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Required condition</w:t>
            </w:r>
          </w:p>
        </w:tc>
      </w:tr>
      <w:tr>
        <w:trPr>
          <w:cantSplit/>
        </w:trPr>
        <w:tc>
          <w:tcPr>
            <w:tcW w:type="dxa" w:w="302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Current paper lock</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GOT-V1-3a-1 through GOT-V1-3c-8, all Issue 1: current filenames and SHA16 values match the eight canonical papers.</w:t>
            </w:r>
          </w:p>
        </w:tc>
      </w:tr>
      <w:tr>
        <w:trPr>
          <w:cantSplit/>
        </w:trPr>
        <w:tc>
          <w:tcPr>
            <w:tcW w:type="dxa" w:w="302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Directional support dependency</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SD-01 -&gt; SD-02 -&gt; SD-03 -&gt; SD-04; no circular hash dependency.</w:t>
            </w:r>
          </w:p>
        </w:tc>
      </w:tr>
      <w:tr>
        <w:trPr>
          <w:cantSplit/>
        </w:trPr>
        <w:tc>
          <w:tcPr>
            <w:tcW w:type="dxa" w:w="302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Paper-local authority</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Paper endnotes/references remain authoritative for local reader-facing source relations.</w:t>
            </w:r>
          </w:p>
        </w:tc>
      </w:tr>
      <w:tr>
        <w:trPr>
          <w:cantSplit/>
        </w:trPr>
        <w:tc>
          <w:tcPr>
            <w:tcW w:type="dxa" w:w="302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Deduplication</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77 unique publication identities from 84 local occurrences; duplicate identities remain explicitly controlled.</w:t>
            </w:r>
          </w:p>
        </w:tc>
      </w:tr>
      <w:tr>
        <w:trPr>
          <w:cantSplit/>
        </w:trPr>
        <w:tc>
          <w:tcPr>
            <w:tcW w:type="dxa" w:w="302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Inheritance</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No Indexed Inheritance created by consolidation. Operational dependencies remain scoped and local.</w:t>
            </w:r>
          </w:p>
        </w:tc>
      </w:tr>
      <w:tr>
        <w:trPr>
          <w:cantSplit/>
        </w:trPr>
        <w:tc>
          <w:tcPr>
            <w:tcW w:type="dxa" w:w="302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Branch-memory</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Held/excluded/scoped candidates remain recoverable with update conditions.</w:t>
            </w:r>
          </w:p>
        </w:tc>
      </w:tr>
      <w:tr>
        <w:trPr>
          <w:cantSplit/>
        </w:trPr>
        <w:tc>
          <w:tcPr>
            <w:tcW w:type="dxa" w:w="302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Residual</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No exhaustive prior-art claim; search limits remain explicit.</w:t>
            </w:r>
          </w:p>
        </w:tc>
      </w:tr>
      <w:tr>
        <w:trPr>
          <w:cantSplit/>
        </w:trPr>
        <w:tc>
          <w:tcPr>
            <w:tcW w:type="dxa" w:w="302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Support scope</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Only Papers 3a-1–3c-8 enter the Part 3 canonical support lock; contextual essays and downstream extensions remain outside it.</w:t>
            </w:r>
          </w:p>
        </w:tc>
      </w:tr>
      <w:tr>
        <w:trPr>
          <w:cantSplit/>
        </w:trPr>
        <w:tc>
          <w:tcPr>
            <w:tcW w:type="dxa" w:w="302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Release discipline</w:t>
            </w:r>
          </w:p>
        </w:tc>
        <w:tc>
          <w:tcPr>
            <w:tcW w:type="dxa" w:w="118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Any later saved edit to a source-locked paper or support document requires hash refresh and downstream reconciliation.</w:t>
            </w:r>
          </w:p>
        </w:tc>
      </w:tr>
    </w:tbl>
    <w:p>
      <w:pPr>
        <w:rPr>
          <w:rFonts w:ascii="Arial" w:hAnsi="Arial" w:eastAsia="Arial" w:cs="Arial"/>
          <w:sz w:val="22"/>
          <w:szCs w:val="22"/>
        </w:rPr>
        <w:pStyle w:val="Normal"/>
        <w:spacing w:before="0" w:after="0" w:line="240" w:lineRule="auto"/>
        <w:keepNext/>
      </w:pPr>
    </w:p>
    <w:sectPr>
      <w:headerReference w:type="default" r:id="rId9"/>
      <w:footerReference w:type="default" r:id="rId10"/>
      <w:pgSz w:w="15840" w:h="12240" w:orient="landscape"/>
      <w:pgMar w:top="648" w:right="648" w:bottom="648"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cs="Arial"/>
        <w:sz w:val="18"/>
        <w:szCs w:val="18"/>
      </w:rPr>
      <w:t>Secondary to canonical papers. Primary papers govern technical use.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eastAsia="Arial" w:cs="Arial"/>
        <w:sz w:val="18"/>
        <w:szCs w:val="18"/>
      </w:rPr>
      <w:t>Part 3 (3a-3c): The Epistemic Method | TEM-P3-3A3B3C-SD04-BIBLIOGRAPHY | Issue 1 | Source-locked</w:t>
      <w:br/>
      <w:t>Secondary to canonical papers. Primary papers govern technical use.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s="Arial"/>
      <w:sz w:val="22"/>
      <w:szCs w:val="22"/>
    </w:rPr>
  </w:style>
  <w:style w:type="paragraph" w:styleId="Header">
    <w:rPr>
      <w:rFonts w:ascii="Arial" w:hAnsi="Arial" w:eastAsia="Arial" w:cs="Arial"/>
      <w:sz w:val="18"/>
      <w:szCs w:val="18"/>
    </w:rP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rPr>
      <w:rFonts w:ascii="Arial" w:hAnsi="Arial" w:eastAsia="Arial" w:cs="Arial"/>
      <w:sz w:val="22"/>
      <w:szCs w:val="22"/>
    </w:rPr>
    <w:name w:val="Header Char"/>
    <w:basedOn w:val="DefaultParagraphFont"/>
    <w:link w:val="Header"/>
    <w:uiPriority w:val="99"/>
    <w:rsid w:val="00E618BF"/>
  </w:style>
  <w:style w:type="paragraph" w:styleId="Footer">
    <w:rPr>
      <w:rFonts w:ascii="Arial" w:hAnsi="Arial" w:eastAsia="Arial" w:cs="Arial"/>
      <w:sz w:val="18"/>
      <w:szCs w:val="18"/>
    </w:rP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rPr>
      <w:rFonts w:ascii="Arial" w:hAnsi="Arial" w:eastAsia="Arial" w:cs="Arial"/>
      <w:sz w:val="22"/>
      <w:szCs w:val="22"/>
    </w:rP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outlineLvl w:val="0"/>
    </w:pPr>
    <w:rPr>
      <w:b/>
      <w:bCs/>
      <w:color w:val="1F4E79"/>
      <w:rFonts w:ascii="Arial" w:hAnsi="Arial" w:eastAsia="Arial" w:cs="Arial"/>
      <w:sz w:val="30"/>
      <w:szCs w:val="30"/>
    </w:rPr>
  </w:style>
  <w:style w:type="paragraph" w:styleId="Heading2">
    <w:name w:val="heading 2"/>
    <w:basedOn w:val="Normal"/>
    <w:next w:val="Normal"/>
    <w:link w:val="Heading2Char"/>
    <w:uiPriority w:val="9"/>
    <w:unhideWhenUsed/>
    <w:qFormat/>
    <w:rsid w:val="00FC693F"/>
    <w:pPr>
      <w:keepNext/>
      <w:keepLines/>
      <w:spacing w:before="200" w:after="60"/>
      <w:outlineLvl w:val="1"/>
    </w:pPr>
    <w:rPr>
      <w:b/>
      <w:bCs/>
      <w:color w:val="1F4E79"/>
      <w:rFonts w:ascii="Arial" w:hAnsi="Arial" w:eastAsia="Arial" w:cs="Arial"/>
      <w:sz w:val="24"/>
      <w:szCs w:val="24"/>
    </w:rPr>
  </w:style>
  <w:style w:type="paragraph" w:styleId="Heading3">
    <w:name w:val="heading 3"/>
    <w:basedOn w:val="Normal"/>
    <w:next w:val="Normal"/>
    <w:link w:val="Heading3Char"/>
    <w:uiPriority w:val="9"/>
    <w:unhideWhenUsed/>
    <w:qFormat/>
    <w:rsid w:val="00FC693F"/>
    <w:pPr>
      <w:keepNext/>
      <w:keepLines/>
      <w:spacing w:before="120" w:after="40"/>
      <w:outlineLvl w:val="2"/>
    </w:pPr>
    <w:rPr>
      <w:b/>
      <w:bCs/>
      <w:color w:val="1F4E79"/>
      <w:rFonts w:ascii="Arial" w:hAnsi="Arial" w:eastAsia="Arial" w:cs="Arial"/>
      <w:sz w:val="22"/>
      <w:szCs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b/>
      <w:bCs/>
      <w:i/>
      <w:iCs/>
      <w:color w:val="4F81BD" w:themeColor="accent1"/>
      <w:rFonts w:ascii="Arial" w:hAnsi="Arial" w:eastAsia="Arial" w:cs="Arial"/>
      <w:sz w:val="22"/>
      <w:szCs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color w:val="243F60" w:themeColor="accent1" w:themeShade="7F"/>
      <w:rFonts w:ascii="Arial" w:hAnsi="Arial" w:eastAsia="Arial" w:cs="Arial"/>
      <w:sz w:val="22"/>
      <w:szCs w:val="22"/>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i/>
      <w:iCs/>
      <w:color w:val="243F60" w:themeColor="accent1" w:themeShade="7F"/>
      <w:rFonts w:ascii="Arial" w:hAnsi="Arial" w:eastAsia="Arial" w:cs="Arial"/>
      <w:sz w:val="22"/>
      <w:szCs w:val="22"/>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i/>
      <w:iCs/>
      <w:color w:val="404040" w:themeColor="text1" w:themeTint="BF"/>
      <w:rFonts w:ascii="Arial" w:hAnsi="Arial" w:eastAsia="Arial" w:cs="Arial"/>
      <w:sz w:val="22"/>
      <w:szCs w:val="22"/>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color w:val="4F81BD" w:themeColor="accent1"/>
      <w:rFonts w:ascii="Arial" w:hAnsi="Arial" w:eastAsia="Arial" w:cs="Arial"/>
      <w:sz w:val="22"/>
      <w:szCs w:val="22"/>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i/>
      <w:iCs/>
      <w:color w:val="404040" w:themeColor="text1" w:themeTint="BF"/>
      <w:rFonts w:ascii="Arial" w:hAnsi="Arial" w:eastAsia="Arial" w:cs="Arial"/>
      <w:sz w:val="22"/>
      <w:szCs w:val="22"/>
    </w:rPr>
  </w:style>
  <w:style w:type="character" w:default="1" w:styleId="DefaultParagraphFont">
    <w:rPr>
      <w:rFonts w:ascii="Arial" w:hAnsi="Arial" w:eastAsia="Arial" w:cs="Arial"/>
      <w:sz w:val="22"/>
      <w:szCs w:val="22"/>
    </w:rPr>
    <w:name w:val="Default Paragraph Font"/>
    <w:uiPriority w:val="1"/>
    <w:semiHidden/>
    <w:unhideWhenUsed/>
  </w:style>
  <w:style w:type="table" w:default="1" w:styleId="TableNormal">
    <w:rPr>
      <w:rFonts w:ascii="Arial" w:hAnsi="Arial" w:eastAsia="Arial" w:cs="Arial"/>
      <w:sz w:val="22"/>
      <w:szCs w:val="22"/>
    </w:rPr>
    <w:name w:val="Normal Table"/>
    <w:uiPriority w:val="99"/>
    <w:semiHidden/>
    <w:unhideWhenUsed/>
    <w:tblPr>
      <w:tblInd w:w="0" w:type="dxa"/>
      <w:tblCellMar>
        <w:top w:w="0" w:type="dxa"/>
        <w:left w:w="108" w:type="dxa"/>
        <w:bottom w:w="0" w:type="dxa"/>
        <w:right w:w="108" w:type="dxa"/>
      </w:tblCellMar>
    </w:tblPr>
  </w:style>
  <w:style w:type="numbering" w:default="1" w:styleId="NoList">
    <w:rPr>
      <w:rFonts w:ascii="Arial" w:hAnsi="Arial" w:eastAsia="Arial" w:cs="Arial"/>
      <w:sz w:val="22"/>
      <w:szCs w:val="22"/>
    </w:rPr>
    <w:name w:val="No List"/>
    <w:uiPriority w:val="99"/>
    <w:semiHidden/>
    <w:unhideWhenUsed/>
  </w:style>
  <w:style w:type="paragraph" w:styleId="NoSpacing">
    <w:rPr>
      <w:rFonts w:ascii="Arial" w:hAnsi="Arial" w:eastAsia="Arial" w:cs="Arial"/>
      <w:sz w:val="22"/>
      <w:szCs w:val="22"/>
    </w:rPr>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b/>
      <w:bCs/>
      <w:color w:val="365F91" w:themeColor="accent1" w:themeShade="BF"/>
      <w:rFonts w:ascii="Arial" w:hAnsi="Arial" w:eastAsia="Arial" w:cs="Arial"/>
      <w:sz w:val="22"/>
      <w:szCs w:val="22"/>
    </w:rPr>
  </w:style>
  <w:style w:type="character" w:customStyle="1" w:styleId="Heading2Char">
    <w:name w:val="Heading 2 Char"/>
    <w:basedOn w:val="DefaultParagraphFont"/>
    <w:link w:val="Heading2"/>
    <w:uiPriority w:val="9"/>
    <w:rsid w:val="00FC693F"/>
    <w:rPr>
      <w:b/>
      <w:bCs/>
      <w:color w:val="4F81BD" w:themeColor="accent1"/>
      <w:rFonts w:ascii="Arial" w:hAnsi="Arial" w:eastAsia="Arial" w:cs="Arial"/>
      <w:sz w:val="22"/>
      <w:szCs w:val="22"/>
    </w:rPr>
  </w:style>
  <w:style w:type="character" w:customStyle="1" w:styleId="Heading3Char">
    <w:name w:val="Heading 3 Char"/>
    <w:basedOn w:val="DefaultParagraphFont"/>
    <w:link w:val="Heading3"/>
    <w:uiPriority w:val="9"/>
    <w:rsid w:val="00FC693F"/>
    <w:rPr>
      <w:b/>
      <w:bCs/>
      <w:color w:val="4F81BD" w:themeColor="accent1"/>
      <w:rFonts w:ascii="Arial" w:hAnsi="Arial" w:eastAsia="Arial" w:cs="Arial"/>
      <w:sz w:val="22"/>
      <w:szCs w:val="22"/>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color w:val="17365D" w:themeColor="text2" w:themeShade="BF"/>
      <w:spacing w:val="5"/>
      <w:kern w:val="28"/>
      <w:rFonts w:ascii="Arial" w:hAnsi="Arial" w:eastAsia="Arial" w:cs="Arial"/>
      <w:sz w:val="40"/>
      <w:szCs w:val="40"/>
    </w:rPr>
  </w:style>
  <w:style w:type="character" w:customStyle="1" w:styleId="TitleChar">
    <w:name w:val="Title Char"/>
    <w:basedOn w:val="DefaultParagraphFont"/>
    <w:link w:val="Title"/>
    <w:uiPriority w:val="10"/>
    <w:rsid w:val="00FC693F"/>
    <w:rPr>
      <w:color w:val="17365D" w:themeColor="text2" w:themeShade="BF"/>
      <w:spacing w:val="5"/>
      <w:kern w:val="28"/>
      <w:rFonts w:ascii="Arial" w:hAnsi="Arial" w:eastAsia="Arial" w:cs="Arial"/>
      <w:sz w:val="22"/>
      <w:szCs w:val="22"/>
    </w:rPr>
  </w:style>
  <w:style w:type="paragraph" w:styleId="Subtitle">
    <w:name w:val="Subtitle"/>
    <w:basedOn w:val="Normal"/>
    <w:next w:val="Normal"/>
    <w:link w:val="SubtitleChar"/>
    <w:uiPriority w:val="11"/>
    <w:qFormat/>
    <w:rsid w:val="00FC693F"/>
    <w:pPr>
      <w:numPr>
        <w:ilvl w:val="1"/>
      </w:numPr>
    </w:pPr>
    <w:rPr>
      <w:i/>
      <w:iCs/>
      <w:color w:val="4F81BD" w:themeColor="accent1"/>
      <w:spacing w:val="15"/>
      <w:rFonts w:ascii="Arial" w:hAnsi="Arial" w:eastAsia="Arial" w:cs="Arial"/>
      <w:sz w:val="22"/>
      <w:szCs w:val="22"/>
    </w:rPr>
  </w:style>
  <w:style w:type="character" w:customStyle="1" w:styleId="SubtitleChar">
    <w:name w:val="Subtitle Char"/>
    <w:basedOn w:val="DefaultParagraphFont"/>
    <w:link w:val="Subtitle"/>
    <w:uiPriority w:val="11"/>
    <w:rsid w:val="00FC693F"/>
    <w:rPr>
      <w:i/>
      <w:iCs/>
      <w:color w:val="4F81BD" w:themeColor="accent1"/>
      <w:spacing w:val="15"/>
      <w:rFonts w:ascii="Arial" w:hAnsi="Arial" w:eastAsia="Arial" w:cs="Arial"/>
      <w:sz w:val="22"/>
      <w:szCs w:val="22"/>
    </w:rPr>
  </w:style>
  <w:style w:type="paragraph" w:styleId="ListParagraph">
    <w:rPr>
      <w:rFonts w:ascii="Arial" w:hAnsi="Arial" w:eastAsia="Arial" w:cs="Arial"/>
      <w:sz w:val="22"/>
      <w:szCs w:val="22"/>
    </w:rPr>
    <w:name w:val="List Paragraph"/>
    <w:basedOn w:val="Normal"/>
    <w:uiPriority w:val="34"/>
    <w:qFormat/>
    <w:rsid w:val="00FC693F"/>
    <w:pPr>
      <w:ind w:left="720"/>
      <w:contextualSpacing/>
    </w:pPr>
  </w:style>
  <w:style w:type="paragraph" w:styleId="BodyText">
    <w:rPr>
      <w:rFonts w:ascii="Arial" w:hAnsi="Arial" w:eastAsia="Arial" w:cs="Arial"/>
      <w:sz w:val="22"/>
      <w:szCs w:val="22"/>
    </w:rPr>
    <w:name w:val="Body Text"/>
    <w:basedOn w:val="Normal"/>
    <w:link w:val="BodyTextChar"/>
    <w:uiPriority w:val="99"/>
    <w:unhideWhenUsed/>
    <w:rsid w:val="00AA1D8D"/>
    <w:pPr>
      <w:spacing w:after="120"/>
    </w:pPr>
  </w:style>
  <w:style w:type="character" w:customStyle="1" w:styleId="BodyTextChar">
    <w:rPr>
      <w:rFonts w:ascii="Arial" w:hAnsi="Arial" w:eastAsia="Arial" w:cs="Arial"/>
      <w:sz w:val="22"/>
      <w:szCs w:val="22"/>
    </w:rPr>
    <w:name w:val="Body Text Char"/>
    <w:basedOn w:val="DefaultParagraphFont"/>
    <w:link w:val="BodyText"/>
    <w:uiPriority w:val="99"/>
    <w:rsid w:val="00AA1D8D"/>
  </w:style>
  <w:style w:type="paragraph" w:styleId="BodyText2">
    <w:rPr>
      <w:rFonts w:ascii="Arial" w:hAnsi="Arial" w:eastAsia="Arial" w:cs="Arial"/>
      <w:sz w:val="22"/>
      <w:szCs w:val="22"/>
    </w:rPr>
    <w:name w:val="Body Text 2"/>
    <w:basedOn w:val="Normal"/>
    <w:link w:val="BodyText2Char"/>
    <w:uiPriority w:val="99"/>
    <w:unhideWhenUsed/>
    <w:rsid w:val="00AA1D8D"/>
    <w:pPr>
      <w:spacing w:after="120" w:line="480" w:lineRule="auto"/>
    </w:pPr>
  </w:style>
  <w:style w:type="character" w:customStyle="1" w:styleId="BodyText2Char">
    <w:rPr>
      <w:rFonts w:ascii="Arial" w:hAnsi="Arial" w:eastAsia="Arial" w:cs="Arial"/>
      <w:sz w:val="22"/>
      <w:szCs w:val="22"/>
    </w:rP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Arial" w:hAnsi="Arial" w:eastAsia="Arial" w:cs="Arial"/>
      <w:sz w:val="22"/>
      <w:szCs w:val="22"/>
    </w:rPr>
  </w:style>
  <w:style w:type="character" w:customStyle="1" w:styleId="BodyText3Char">
    <w:name w:val="Body Text 3 Char"/>
    <w:basedOn w:val="DefaultParagraphFont"/>
    <w:link w:val="BodyText3"/>
    <w:uiPriority w:val="99"/>
    <w:rsid w:val="00AA1D8D"/>
    <w:rPr>
      <w:rFonts w:ascii="Arial" w:hAnsi="Arial" w:eastAsia="Arial" w:cs="Arial"/>
      <w:sz w:val="22"/>
      <w:szCs w:val="22"/>
    </w:rPr>
  </w:style>
  <w:style w:type="paragraph" w:styleId="List">
    <w:rPr>
      <w:rFonts w:ascii="Arial" w:hAnsi="Arial" w:eastAsia="Arial" w:cs="Arial"/>
      <w:sz w:val="22"/>
      <w:szCs w:val="22"/>
    </w:rPr>
    <w:name w:val="List"/>
    <w:basedOn w:val="Normal"/>
    <w:uiPriority w:val="99"/>
    <w:unhideWhenUsed/>
    <w:rsid w:val="00AA1D8D"/>
    <w:pPr>
      <w:ind w:left="360" w:hanging="360"/>
      <w:contextualSpacing/>
    </w:pPr>
  </w:style>
  <w:style w:type="paragraph" w:styleId="List2">
    <w:rPr>
      <w:rFonts w:ascii="Arial" w:hAnsi="Arial" w:eastAsia="Arial" w:cs="Arial"/>
      <w:sz w:val="22"/>
      <w:szCs w:val="22"/>
    </w:rPr>
    <w:name w:val="List 2"/>
    <w:basedOn w:val="Normal"/>
    <w:uiPriority w:val="99"/>
    <w:unhideWhenUsed/>
    <w:rsid w:val="00326F90"/>
    <w:pPr>
      <w:ind w:left="720" w:hanging="360"/>
      <w:contextualSpacing/>
    </w:pPr>
  </w:style>
  <w:style w:type="paragraph" w:styleId="List3">
    <w:rPr>
      <w:rFonts w:ascii="Arial" w:hAnsi="Arial" w:eastAsia="Arial" w:cs="Arial"/>
      <w:sz w:val="22"/>
      <w:szCs w:val="22"/>
    </w:rPr>
    <w:name w:val="List 3"/>
    <w:basedOn w:val="Normal"/>
    <w:uiPriority w:val="99"/>
    <w:unhideWhenUsed/>
    <w:rsid w:val="00326F90"/>
    <w:pPr>
      <w:ind w:left="1080" w:hanging="360"/>
      <w:contextualSpacing/>
    </w:pPr>
  </w:style>
  <w:style w:type="paragraph" w:styleId="ListBullet">
    <w:rPr>
      <w:rFonts w:ascii="Arial" w:hAnsi="Arial" w:eastAsia="Arial" w:cs="Arial"/>
      <w:sz w:val="22"/>
      <w:szCs w:val="22"/>
    </w:rPr>
    <w:name w:val="List Bullet"/>
    <w:basedOn w:val="Normal"/>
    <w:uiPriority w:val="99"/>
    <w:unhideWhenUsed/>
    <w:rsid w:val="00326F90"/>
    <w:pPr>
      <w:numPr>
        <w:numId w:val="1"/>
      </w:numPr>
      <w:contextualSpacing/>
    </w:pPr>
  </w:style>
  <w:style w:type="paragraph" w:styleId="ListBullet2">
    <w:rPr>
      <w:rFonts w:ascii="Arial" w:hAnsi="Arial" w:eastAsia="Arial" w:cs="Arial"/>
      <w:sz w:val="22"/>
      <w:szCs w:val="22"/>
    </w:rPr>
    <w:name w:val="List Bullet 2"/>
    <w:basedOn w:val="Normal"/>
    <w:uiPriority w:val="99"/>
    <w:unhideWhenUsed/>
    <w:rsid w:val="00326F90"/>
    <w:pPr>
      <w:numPr>
        <w:numId w:val="2"/>
      </w:numPr>
      <w:contextualSpacing/>
    </w:pPr>
  </w:style>
  <w:style w:type="paragraph" w:styleId="ListBullet3">
    <w:rPr>
      <w:rFonts w:ascii="Arial" w:hAnsi="Arial" w:eastAsia="Arial" w:cs="Arial"/>
      <w:sz w:val="22"/>
      <w:szCs w:val="22"/>
    </w:rPr>
    <w:name w:val="List Bullet 3"/>
    <w:basedOn w:val="Normal"/>
    <w:uiPriority w:val="99"/>
    <w:unhideWhenUsed/>
    <w:rsid w:val="00326F90"/>
    <w:pPr>
      <w:numPr>
        <w:numId w:val="3"/>
      </w:numPr>
      <w:contextualSpacing/>
    </w:pPr>
  </w:style>
  <w:style w:type="paragraph" w:styleId="ListNumber">
    <w:rPr>
      <w:rFonts w:ascii="Arial" w:hAnsi="Arial" w:eastAsia="Arial" w:cs="Arial"/>
      <w:sz w:val="22"/>
      <w:szCs w:val="22"/>
    </w:rPr>
    <w:name w:val="List Number"/>
    <w:basedOn w:val="Normal"/>
    <w:uiPriority w:val="99"/>
    <w:unhideWhenUsed/>
    <w:rsid w:val="00326F90"/>
    <w:pPr>
      <w:numPr>
        <w:numId w:val="5"/>
      </w:numPr>
      <w:contextualSpacing/>
    </w:pPr>
  </w:style>
  <w:style w:type="paragraph" w:styleId="ListNumber2">
    <w:rPr>
      <w:rFonts w:ascii="Arial" w:hAnsi="Arial" w:eastAsia="Arial" w:cs="Arial"/>
      <w:sz w:val="22"/>
      <w:szCs w:val="22"/>
    </w:rPr>
    <w:name w:val="List Number 2"/>
    <w:basedOn w:val="Normal"/>
    <w:uiPriority w:val="99"/>
    <w:unhideWhenUsed/>
    <w:rsid w:val="0029639D"/>
    <w:pPr>
      <w:numPr>
        <w:numId w:val="6"/>
      </w:numPr>
      <w:contextualSpacing/>
    </w:pPr>
  </w:style>
  <w:style w:type="paragraph" w:styleId="ListNumber3">
    <w:rPr>
      <w:rFonts w:ascii="Arial" w:hAnsi="Arial" w:eastAsia="Arial" w:cs="Arial"/>
      <w:sz w:val="22"/>
      <w:szCs w:val="22"/>
    </w:rPr>
    <w:name w:val="List Number 3"/>
    <w:basedOn w:val="Normal"/>
    <w:uiPriority w:val="99"/>
    <w:unhideWhenUsed/>
    <w:rsid w:val="0029639D"/>
    <w:pPr>
      <w:numPr>
        <w:numId w:val="7"/>
      </w:numPr>
      <w:contextualSpacing/>
    </w:pPr>
  </w:style>
  <w:style w:type="paragraph" w:styleId="ListContinue">
    <w:rPr>
      <w:rFonts w:ascii="Arial" w:hAnsi="Arial" w:eastAsia="Arial" w:cs="Arial"/>
      <w:sz w:val="22"/>
      <w:szCs w:val="22"/>
    </w:rPr>
    <w:name w:val="List Continue"/>
    <w:basedOn w:val="Normal"/>
    <w:uiPriority w:val="99"/>
    <w:unhideWhenUsed/>
    <w:rsid w:val="0029639D"/>
    <w:pPr>
      <w:spacing w:after="120"/>
      <w:ind w:left="360"/>
      <w:contextualSpacing/>
    </w:pPr>
  </w:style>
  <w:style w:type="paragraph" w:styleId="ListContinue2">
    <w:rPr>
      <w:rFonts w:ascii="Arial" w:hAnsi="Arial" w:eastAsia="Arial" w:cs="Arial"/>
      <w:sz w:val="22"/>
      <w:szCs w:val="22"/>
    </w:rPr>
    <w:name w:val="List Continue 2"/>
    <w:basedOn w:val="Normal"/>
    <w:uiPriority w:val="99"/>
    <w:unhideWhenUsed/>
    <w:rsid w:val="0029639D"/>
    <w:pPr>
      <w:spacing w:after="120"/>
      <w:ind w:left="720"/>
      <w:contextualSpacing/>
    </w:pPr>
  </w:style>
  <w:style w:type="paragraph" w:styleId="ListContinue3">
    <w:rPr>
      <w:rFonts w:ascii="Arial" w:hAnsi="Arial" w:eastAsia="Arial" w:cs="Arial"/>
      <w:sz w:val="22"/>
      <w:szCs w:val="22"/>
    </w:rPr>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2"/>
      <w:szCs w:val="22"/>
    </w:rPr>
  </w:style>
  <w:style w:type="character" w:customStyle="1" w:styleId="MacroTextChar">
    <w:name w:val="Macro Text Char"/>
    <w:basedOn w:val="DefaultParagraphFont"/>
    <w:link w:val="MacroText"/>
    <w:uiPriority w:val="99"/>
    <w:rsid w:val="0029639D"/>
    <w:rPr>
      <w:rFonts w:ascii="Arial" w:hAnsi="Arial" w:eastAsia="Arial" w:cs="Arial"/>
      <w:sz w:val="22"/>
      <w:szCs w:val="22"/>
    </w:rPr>
  </w:style>
  <w:style w:type="paragraph" w:styleId="Quote">
    <w:name w:val="Quote"/>
    <w:basedOn w:val="Normal"/>
    <w:next w:val="Normal"/>
    <w:link w:val="QuoteChar"/>
    <w:uiPriority w:val="29"/>
    <w:qFormat/>
    <w:rsid w:val="00FC693F"/>
    <w:rPr>
      <w:i/>
      <w:iCs/>
      <w:color w:val="000000" w:themeColor="text1"/>
      <w:rFonts w:ascii="Arial" w:hAnsi="Arial" w:eastAsia="Arial" w:cs="Arial"/>
      <w:sz w:val="22"/>
      <w:szCs w:val="22"/>
    </w:rPr>
  </w:style>
  <w:style w:type="character" w:customStyle="1" w:styleId="QuoteChar">
    <w:name w:val="Quote Char"/>
    <w:basedOn w:val="DefaultParagraphFont"/>
    <w:link w:val="Quote"/>
    <w:uiPriority w:val="29"/>
    <w:rsid w:val="00FC693F"/>
    <w:rPr>
      <w:i/>
      <w:iCs/>
      <w:color w:val="000000" w:themeColor="text1"/>
      <w:rFonts w:ascii="Arial" w:hAnsi="Arial" w:eastAsia="Arial" w:cs="Arial"/>
      <w:sz w:val="22"/>
      <w:szCs w:val="22"/>
    </w:rPr>
  </w:style>
  <w:style w:type="character" w:customStyle="1" w:styleId="Heading4Char">
    <w:name w:val="Heading 4 Char"/>
    <w:basedOn w:val="DefaultParagraphFont"/>
    <w:link w:val="Heading4"/>
    <w:uiPriority w:val="9"/>
    <w:semiHidden/>
    <w:rsid w:val="00FC693F"/>
    <w:rPr>
      <w:b/>
      <w:bCs/>
      <w:i/>
      <w:iCs/>
      <w:color w:val="4F81BD" w:themeColor="accent1"/>
      <w:rFonts w:ascii="Arial" w:hAnsi="Arial" w:eastAsia="Arial" w:cs="Arial"/>
      <w:sz w:val="22"/>
      <w:szCs w:val="22"/>
    </w:rPr>
  </w:style>
  <w:style w:type="character" w:customStyle="1" w:styleId="Heading5Char">
    <w:name w:val="Heading 5 Char"/>
    <w:basedOn w:val="DefaultParagraphFont"/>
    <w:link w:val="Heading5"/>
    <w:uiPriority w:val="9"/>
    <w:semiHidden/>
    <w:rsid w:val="00FC693F"/>
    <w:rPr>
      <w:color w:val="243F60" w:themeColor="accent1" w:themeShade="7F"/>
      <w:rFonts w:ascii="Arial" w:hAnsi="Arial" w:eastAsia="Arial" w:cs="Arial"/>
      <w:sz w:val="22"/>
      <w:szCs w:val="22"/>
    </w:rPr>
  </w:style>
  <w:style w:type="character" w:customStyle="1" w:styleId="Heading6Char">
    <w:name w:val="Heading 6 Char"/>
    <w:basedOn w:val="DefaultParagraphFont"/>
    <w:link w:val="Heading6"/>
    <w:uiPriority w:val="9"/>
    <w:semiHidden/>
    <w:rsid w:val="00FC693F"/>
    <w:rPr>
      <w:i/>
      <w:iCs/>
      <w:color w:val="243F60" w:themeColor="accent1" w:themeShade="7F"/>
      <w:rFonts w:ascii="Arial" w:hAnsi="Arial" w:eastAsia="Arial" w:cs="Arial"/>
      <w:sz w:val="22"/>
      <w:szCs w:val="22"/>
    </w:rPr>
  </w:style>
  <w:style w:type="character" w:customStyle="1" w:styleId="Heading7Char">
    <w:name w:val="Heading 7 Char"/>
    <w:basedOn w:val="DefaultParagraphFont"/>
    <w:link w:val="Heading7"/>
    <w:uiPriority w:val="9"/>
    <w:semiHidden/>
    <w:rsid w:val="00FC693F"/>
    <w:rPr>
      <w:i/>
      <w:iCs/>
      <w:color w:val="404040" w:themeColor="text1" w:themeTint="BF"/>
      <w:rFonts w:ascii="Arial" w:hAnsi="Arial" w:eastAsia="Arial" w:cs="Arial"/>
      <w:sz w:val="22"/>
      <w:szCs w:val="22"/>
    </w:rPr>
  </w:style>
  <w:style w:type="character" w:customStyle="1" w:styleId="Heading8Char">
    <w:name w:val="Heading 8 Char"/>
    <w:basedOn w:val="DefaultParagraphFont"/>
    <w:link w:val="Heading8"/>
    <w:uiPriority w:val="9"/>
    <w:semiHidden/>
    <w:rsid w:val="00FC693F"/>
    <w:rPr>
      <w:color w:val="4F81BD" w:themeColor="accent1"/>
      <w:rFonts w:ascii="Arial" w:hAnsi="Arial" w:eastAsia="Arial" w:cs="Arial"/>
      <w:sz w:val="22"/>
      <w:szCs w:val="22"/>
    </w:rPr>
  </w:style>
  <w:style w:type="character" w:customStyle="1" w:styleId="Heading9Char">
    <w:name w:val="Heading 9 Char"/>
    <w:basedOn w:val="DefaultParagraphFont"/>
    <w:link w:val="Heading9"/>
    <w:uiPriority w:val="9"/>
    <w:semiHidden/>
    <w:rsid w:val="00FC693F"/>
    <w:rPr>
      <w:i/>
      <w:iCs/>
      <w:color w:val="404040" w:themeColor="text1" w:themeTint="BF"/>
      <w:rFonts w:ascii="Arial" w:hAnsi="Arial" w:eastAsia="Arial" w:cs="Arial"/>
      <w:sz w:val="22"/>
      <w:szCs w:val="22"/>
    </w:rPr>
  </w:style>
  <w:style w:type="paragraph" w:styleId="Caption">
    <w:name w:val="caption"/>
    <w:basedOn w:val="Normal"/>
    <w:next w:val="Normal"/>
    <w:uiPriority w:val="35"/>
    <w:semiHidden/>
    <w:unhideWhenUsed/>
    <w:qFormat/>
    <w:rsid w:val="00FC693F"/>
    <w:pPr>
      <w:spacing w:line="240" w:lineRule="auto"/>
    </w:pPr>
    <w:rPr>
      <w:b/>
      <w:bCs/>
      <w:color w:val="4F81BD" w:themeColor="accent1"/>
      <w:rFonts w:ascii="Arial" w:hAnsi="Arial" w:eastAsia="Arial" w:cs="Arial"/>
      <w:sz w:val="22"/>
      <w:szCs w:val="22"/>
    </w:rPr>
  </w:style>
  <w:style w:type="character" w:styleId="Strong">
    <w:name w:val="Strong"/>
    <w:basedOn w:val="DefaultParagraphFont"/>
    <w:uiPriority w:val="22"/>
    <w:qFormat/>
    <w:rsid w:val="00FC693F"/>
    <w:rPr>
      <w:b/>
      <w:bCs/>
      <w:rFonts w:ascii="Arial" w:hAnsi="Arial" w:eastAsia="Arial" w:cs="Arial"/>
      <w:sz w:val="22"/>
      <w:szCs w:val="22"/>
    </w:rPr>
  </w:style>
  <w:style w:type="character" w:styleId="Emphasis">
    <w:name w:val="Emphasis"/>
    <w:basedOn w:val="DefaultParagraphFont"/>
    <w:uiPriority w:val="20"/>
    <w:qFormat/>
    <w:rsid w:val="00FC693F"/>
    <w:rPr>
      <w:i/>
      <w:iCs/>
      <w:rFonts w:ascii="Arial" w:hAnsi="Arial" w:eastAsia="Arial" w:cs="Arial"/>
      <w:sz w:val="22"/>
      <w:szCs w:val="22"/>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Fonts w:ascii="Arial" w:hAnsi="Arial" w:eastAsia="Arial" w:cs="Arial"/>
      <w:sz w:val="22"/>
      <w:szCs w:val="22"/>
    </w:rPr>
  </w:style>
  <w:style w:type="character" w:customStyle="1" w:styleId="IntenseQuoteChar">
    <w:name w:val="Intense Quote Char"/>
    <w:basedOn w:val="DefaultParagraphFont"/>
    <w:link w:val="IntenseQuote"/>
    <w:uiPriority w:val="30"/>
    <w:rsid w:val="00FC693F"/>
    <w:rPr>
      <w:b/>
      <w:bCs/>
      <w:i/>
      <w:iCs/>
      <w:color w:val="4F81BD" w:themeColor="accent1"/>
      <w:rFonts w:ascii="Arial" w:hAnsi="Arial" w:eastAsia="Arial" w:cs="Arial"/>
      <w:sz w:val="22"/>
      <w:szCs w:val="22"/>
    </w:rPr>
  </w:style>
  <w:style w:type="character" w:styleId="SubtleEmphasis">
    <w:name w:val="Subtle Emphasis"/>
    <w:basedOn w:val="DefaultParagraphFont"/>
    <w:uiPriority w:val="19"/>
    <w:qFormat/>
    <w:rsid w:val="00FC693F"/>
    <w:rPr>
      <w:i/>
      <w:iCs/>
      <w:color w:val="808080" w:themeColor="text1" w:themeTint="7F"/>
      <w:rFonts w:ascii="Arial" w:hAnsi="Arial" w:eastAsia="Arial" w:cs="Arial"/>
      <w:sz w:val="22"/>
      <w:szCs w:val="22"/>
    </w:rPr>
  </w:style>
  <w:style w:type="character" w:styleId="IntenseEmphasis">
    <w:name w:val="Intense Emphasis"/>
    <w:basedOn w:val="DefaultParagraphFont"/>
    <w:uiPriority w:val="21"/>
    <w:qFormat/>
    <w:rsid w:val="00FC693F"/>
    <w:rPr>
      <w:b/>
      <w:bCs/>
      <w:i/>
      <w:iCs/>
      <w:color w:val="4F81BD" w:themeColor="accent1"/>
      <w:rFonts w:ascii="Arial" w:hAnsi="Arial" w:eastAsia="Arial" w:cs="Arial"/>
      <w:sz w:val="22"/>
      <w:szCs w:val="22"/>
    </w:rPr>
  </w:style>
  <w:style w:type="character" w:styleId="SubtleReference">
    <w:name w:val="Subtle Reference"/>
    <w:basedOn w:val="DefaultParagraphFont"/>
    <w:uiPriority w:val="31"/>
    <w:qFormat/>
    <w:rsid w:val="00FC693F"/>
    <w:rPr>
      <w:smallCaps/>
      <w:color w:val="C0504D" w:themeColor="accent2"/>
      <w:u w:val="single"/>
      <w:rFonts w:ascii="Arial" w:hAnsi="Arial" w:eastAsia="Arial" w:cs="Arial"/>
      <w:sz w:val="22"/>
      <w:szCs w:val="22"/>
    </w:rPr>
  </w:style>
  <w:style w:type="character" w:styleId="IntenseReference">
    <w:name w:val="Intense Reference"/>
    <w:basedOn w:val="DefaultParagraphFont"/>
    <w:uiPriority w:val="32"/>
    <w:qFormat/>
    <w:rsid w:val="00FC693F"/>
    <w:rPr>
      <w:b/>
      <w:bCs/>
      <w:smallCaps/>
      <w:color w:val="C0504D" w:themeColor="accent2"/>
      <w:spacing w:val="5"/>
      <w:u w:val="single"/>
      <w:rFonts w:ascii="Arial" w:hAnsi="Arial" w:eastAsia="Arial" w:cs="Arial"/>
      <w:sz w:val="22"/>
      <w:szCs w:val="22"/>
    </w:rPr>
  </w:style>
  <w:style w:type="character" w:styleId="BookTitle">
    <w:name w:val="Book Title"/>
    <w:basedOn w:val="DefaultParagraphFont"/>
    <w:uiPriority w:val="33"/>
    <w:qFormat/>
    <w:rsid w:val="00FC693F"/>
    <w:rPr>
      <w:b/>
      <w:bCs/>
      <w:smallCaps/>
      <w:spacing w:val="5"/>
      <w:rFonts w:ascii="Arial" w:hAnsi="Arial" w:eastAsia="Arial" w:cs="Arial"/>
      <w:sz w:val="22"/>
      <w:szCs w:val="22"/>
    </w:rPr>
  </w:style>
  <w:style w:type="paragraph" w:styleId="TOCHeading">
    <w:rPr>
      <w:rFonts w:ascii="Arial" w:hAnsi="Arial" w:eastAsia="Arial" w:cs="Arial"/>
      <w:sz w:val="22"/>
      <w:szCs w:val="22"/>
    </w:rPr>
    <w:name w:val="TOC Heading"/>
    <w:basedOn w:val="Heading1"/>
    <w:next w:val="Normal"/>
    <w:uiPriority w:val="39"/>
    <w:semiHidden/>
    <w:unhideWhenUsed/>
    <w:qFormat/>
    <w:rsid w:val="00FC693F"/>
    <w:pPr>
      <w:outlineLvl w:val="9"/>
    </w:pPr>
  </w:style>
  <w:style w:type="table" w:styleId="TableGrid">
    <w:rPr>
      <w:rFonts w:ascii="Arial" w:hAnsi="Arial" w:eastAsia="Arial" w:cs="Arial"/>
      <w:sz w:val="22"/>
      <w:szCs w:val="22"/>
    </w:rPr>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Fonts w:ascii="Arial" w:hAnsi="Arial" w:eastAsia="Arial" w:cs="Arial"/>
      <w:sz w:val="22"/>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Fonts w:ascii="Arial" w:hAnsi="Arial" w:eastAsia="Arial" w:cs="Arial"/>
      <w:sz w:val="22"/>
      <w:szCs w:val="22"/>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Fonts w:ascii="Arial" w:hAnsi="Arial" w:eastAsia="Arial" w:cs="Arial"/>
      <w:sz w:val="22"/>
      <w:szCs w:val="22"/>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Fonts w:ascii="Arial" w:hAnsi="Arial" w:eastAsia="Arial" w:cs="Arial"/>
      <w:sz w:val="22"/>
      <w:szCs w:val="22"/>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Fonts w:ascii="Arial" w:hAnsi="Arial" w:eastAsia="Arial" w:cs="Arial"/>
      <w:sz w:val="22"/>
      <w:szCs w:val="22"/>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Fonts w:ascii="Arial" w:hAnsi="Arial" w:eastAsia="Arial" w:cs="Arial"/>
      <w:sz w:val="22"/>
      <w:szCs w:val="22"/>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Fonts w:ascii="Arial" w:hAnsi="Arial" w:eastAsia="Arial" w:cs="Arial"/>
      <w:sz w:val="22"/>
      <w:szCs w:val="22"/>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rPr>
      <w:rFonts w:ascii="Arial" w:hAnsi="Arial" w:eastAsia="Arial" w:cs="Arial"/>
      <w:sz w:val="22"/>
      <w:szCs w:val="22"/>
    </w:rPr>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rPr>
      <w:rFonts w:ascii="Arial" w:hAnsi="Arial" w:eastAsia="Arial" w:cs="Arial"/>
      <w:sz w:val="22"/>
      <w:szCs w:val="22"/>
    </w:rPr>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rPr>
      <w:rFonts w:ascii="Arial" w:hAnsi="Arial" w:eastAsia="Arial" w:cs="Arial"/>
      <w:sz w:val="22"/>
      <w:szCs w:val="22"/>
    </w:rPr>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rPr>
      <w:rFonts w:ascii="Arial" w:hAnsi="Arial" w:eastAsia="Arial" w:cs="Arial"/>
      <w:sz w:val="22"/>
      <w:szCs w:val="22"/>
    </w:rPr>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rPr>
      <w:rFonts w:ascii="Arial" w:hAnsi="Arial" w:eastAsia="Arial" w:cs="Arial"/>
      <w:sz w:val="22"/>
      <w:szCs w:val="22"/>
    </w:rPr>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rPr>
      <w:rFonts w:ascii="Arial" w:hAnsi="Arial" w:eastAsia="Arial" w:cs="Arial"/>
      <w:sz w:val="22"/>
      <w:szCs w:val="22"/>
    </w:rPr>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rPr>
      <w:rFonts w:ascii="Arial" w:hAnsi="Arial" w:eastAsia="Arial" w:cs="Arial"/>
      <w:sz w:val="22"/>
      <w:szCs w:val="22"/>
    </w:rPr>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rPr>
      <w:rFonts w:ascii="Arial" w:hAnsi="Arial" w:eastAsia="Arial" w:cs="Arial"/>
      <w:sz w:val="22"/>
      <w:szCs w:val="22"/>
    </w:rPr>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rPr>
      <w:rFonts w:ascii="Arial" w:hAnsi="Arial" w:eastAsia="Arial" w:cs="Arial"/>
      <w:sz w:val="22"/>
      <w:szCs w:val="22"/>
    </w:rPr>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rPr>
      <w:rFonts w:ascii="Arial" w:hAnsi="Arial" w:eastAsia="Arial" w:cs="Arial"/>
      <w:sz w:val="22"/>
      <w:szCs w:val="22"/>
    </w:rPr>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rPr>
      <w:rFonts w:ascii="Arial" w:hAnsi="Arial" w:eastAsia="Arial" w:cs="Arial"/>
      <w:sz w:val="22"/>
      <w:szCs w:val="22"/>
    </w:rPr>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rPr>
      <w:rFonts w:ascii="Arial" w:hAnsi="Arial" w:eastAsia="Arial" w:cs="Arial"/>
      <w:sz w:val="22"/>
      <w:szCs w:val="22"/>
    </w:rPr>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rPr>
      <w:rFonts w:ascii="Arial" w:hAnsi="Arial" w:eastAsia="Arial" w:cs="Arial"/>
      <w:sz w:val="22"/>
      <w:szCs w:val="22"/>
    </w:rPr>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rPr>
      <w:rFonts w:ascii="Arial" w:hAnsi="Arial" w:eastAsia="Arial" w:cs="Arial"/>
      <w:sz w:val="22"/>
      <w:szCs w:val="22"/>
    </w:rPr>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rPr>
      <w:rFonts w:ascii="Arial" w:hAnsi="Arial" w:eastAsia="Arial" w:cs="Arial"/>
      <w:sz w:val="22"/>
      <w:szCs w:val="22"/>
    </w:rPr>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rPr>
      <w:rFonts w:ascii="Arial" w:hAnsi="Arial" w:eastAsia="Arial" w:cs="Arial"/>
      <w:sz w:val="22"/>
      <w:szCs w:val="22"/>
    </w:rPr>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rPr>
      <w:rFonts w:ascii="Arial" w:hAnsi="Arial" w:eastAsia="Arial" w:cs="Arial"/>
      <w:sz w:val="22"/>
      <w:szCs w:val="22"/>
    </w:rPr>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rPr>
      <w:rFonts w:ascii="Arial" w:hAnsi="Arial" w:eastAsia="Arial" w:cs="Arial"/>
      <w:sz w:val="22"/>
      <w:szCs w:val="22"/>
    </w:rPr>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rPr>
      <w:rFonts w:ascii="Arial" w:hAnsi="Arial" w:eastAsia="Arial" w:cs="Arial"/>
      <w:sz w:val="22"/>
      <w:szCs w:val="22"/>
    </w:rPr>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rPr>
      <w:rFonts w:ascii="Arial" w:hAnsi="Arial" w:eastAsia="Arial" w:cs="Arial"/>
      <w:sz w:val="22"/>
      <w:szCs w:val="22"/>
    </w:rPr>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rPr>
      <w:rFonts w:ascii="Arial" w:hAnsi="Arial" w:eastAsia="Arial" w:cs="Arial"/>
      <w:sz w:val="22"/>
      <w:szCs w:val="22"/>
    </w:rPr>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rPr>
      <w:rFonts w:ascii="Arial" w:hAnsi="Arial" w:eastAsia="Arial" w:cs="Arial"/>
      <w:sz w:val="22"/>
      <w:szCs w:val="22"/>
    </w:rPr>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rPr>
      <w:rFonts w:ascii="Arial" w:hAnsi="Arial" w:eastAsia="Arial" w:cs="Arial"/>
      <w:sz w:val="22"/>
      <w:szCs w:val="22"/>
    </w:rPr>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rPr>
      <w:rFonts w:ascii="Arial" w:hAnsi="Arial" w:eastAsia="Arial" w:cs="Arial"/>
      <w:sz w:val="22"/>
      <w:szCs w:val="22"/>
    </w:rPr>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rPr>
      <w:rFonts w:ascii="Arial" w:hAnsi="Arial" w:eastAsia="Arial" w:cs="Arial"/>
      <w:sz w:val="22"/>
      <w:szCs w:val="22"/>
    </w:rPr>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rPr>
      <w:rFonts w:ascii="Arial" w:hAnsi="Arial" w:eastAsia="Arial" w:cs="Arial"/>
      <w:sz w:val="22"/>
      <w:szCs w:val="22"/>
    </w:rPr>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rPr>
      <w:rFonts w:ascii="Arial" w:hAnsi="Arial" w:eastAsia="Arial" w:cs="Arial"/>
      <w:sz w:val="22"/>
      <w:szCs w:val="22"/>
    </w:rPr>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rPr>
      <w:rFonts w:ascii="Arial" w:hAnsi="Arial" w:eastAsia="Arial" w:cs="Arial"/>
      <w:sz w:val="22"/>
      <w:szCs w:val="22"/>
    </w:rPr>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rPr>
      <w:rFonts w:ascii="Arial" w:hAnsi="Arial" w:eastAsia="Arial" w:cs="Arial"/>
      <w:sz w:val="22"/>
      <w:szCs w:val="22"/>
    </w:rPr>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rPr>
      <w:rFonts w:ascii="Arial" w:hAnsi="Arial" w:eastAsia="Arial" w:cs="Arial"/>
      <w:sz w:val="22"/>
      <w:szCs w:val="22"/>
    </w:rPr>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rPr>
      <w:rFonts w:ascii="Arial" w:hAnsi="Arial" w:eastAsia="Arial" w:cs="Arial"/>
      <w:sz w:val="22"/>
      <w:szCs w:val="22"/>
    </w:rPr>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rPr>
      <w:rFonts w:ascii="Arial" w:hAnsi="Arial" w:eastAsia="Arial" w:cs="Arial"/>
      <w:sz w:val="22"/>
      <w:szCs w:val="22"/>
    </w:rPr>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rPr>
      <w:rFonts w:ascii="Arial" w:hAnsi="Arial" w:eastAsia="Arial" w:cs="Arial"/>
      <w:sz w:val="22"/>
      <w:szCs w:val="22"/>
    </w:rPr>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rPr>
      <w:rFonts w:ascii="Arial" w:hAnsi="Arial" w:eastAsia="Arial" w:cs="Arial"/>
      <w:sz w:val="22"/>
      <w:szCs w:val="22"/>
    </w:rPr>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rPr>
      <w:rFonts w:ascii="Arial" w:hAnsi="Arial" w:eastAsia="Arial" w:cs="Arial"/>
      <w:sz w:val="22"/>
      <w:szCs w:val="22"/>
    </w:rPr>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rPr>
      <w:rFonts w:ascii="Arial" w:hAnsi="Arial" w:eastAsia="Arial" w:cs="Arial"/>
      <w:sz w:val="22"/>
      <w:szCs w:val="22"/>
    </w:rPr>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rPr>
      <w:rFonts w:ascii="Arial" w:hAnsi="Arial" w:eastAsia="Arial" w:cs="Arial"/>
      <w:sz w:val="22"/>
      <w:szCs w:val="22"/>
    </w:rPr>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rPr>
      <w:rFonts w:ascii="Arial" w:hAnsi="Arial" w:eastAsia="Arial" w:cs="Arial"/>
      <w:sz w:val="22"/>
      <w:szCs w:val="22"/>
    </w:rPr>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rPr>
      <w:rFonts w:ascii="Arial" w:hAnsi="Arial" w:eastAsia="Arial" w:cs="Arial"/>
      <w:sz w:val="22"/>
      <w:szCs w:val="22"/>
    </w:rPr>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rPr>
      <w:rFonts w:ascii="Arial" w:hAnsi="Arial" w:eastAsia="Arial" w:cs="Arial"/>
      <w:sz w:val="22"/>
      <w:szCs w:val="22"/>
    </w:rPr>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rPr>
      <w:rFonts w:ascii="Arial" w:hAnsi="Arial" w:eastAsia="Arial" w:cs="Arial"/>
      <w:sz w:val="22"/>
      <w:szCs w:val="22"/>
    </w:rPr>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rPr>
      <w:rFonts w:ascii="Arial" w:hAnsi="Arial" w:eastAsia="Arial" w:cs="Arial"/>
      <w:sz w:val="22"/>
      <w:szCs w:val="22"/>
    </w:rPr>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3 - The Epistemic Method - Part Bibliography and Relation Register - Issue 1</dc:title>
  <dc:subject>Bibliographic consolidation and relation-control support document</dc:subject>
  <dc:creator>OpenAI</dc:creator>
  <cp:keywords/>
  <dc:description>Source-locked controlled support document; secondary to canonical papers.</dc:description>
  <cp:lastModifiedBy/>
  <cp:revision>1</cp:revision>
  <dcterms:created xsi:type="dcterms:W3CDTF">2013-12-23T23:15:00Z</dcterms:created>
  <dcterms:modified xsi:type="dcterms:W3CDTF">2026-09-24T00:00:00Z</dcterms:modified>
  <cp:category/>
</cp:coreProperties>
</file>